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C-5735/2011 vom 21. Oktober 2013</w:t>
      </w:r>
    </w:p>
    <w:p>
      <w:r>
        <w:t>Bundesverwaltungsgericht, 2013-10-21, DE</w:t>
      </w:r>
    </w:p>
    <w:p>
      <w:r>
        <w:rPr>
          <w:b/>
        </w:rPr>
        <w:t xml:space="preserve">Quelle: </w:t>
      </w:r>
      <w:r>
        <w:t>https://mcp.opencaselaw.ch/entscheid/bvger_C-5735_2011</w:t>
      </w:r>
    </w:p>
    <w:p>
      <w:r>
        <w:t>FR: TAF C-5735/2011 du 21 octobre 2013</w:t>
      </w:r>
    </w:p>
    <w:p>
      <w:r>
        <w:t>IT: TAF C-5735/2011 del 21 ottobre 2013</w:t>
      </w:r>
    </w:p>
    <w:p>
      <w:pPr>
        <w:pStyle w:val="Heading2"/>
      </w:pPr>
      <w:r>
        <w:t>Regeste</w:t>
      </w:r>
    </w:p>
    <w:p>
      <w:r>
        <w:t>Krankenversicherung (Übriges)</w:t>
      </w:r>
    </w:p>
    <w:p>
      <w:pPr>
        <w:pStyle w:val="Heading2"/>
      </w:pPr>
      <w:r>
        <w:t>Erwägungen</w:t>
      </w:r>
    </w:p>
    <w:p>
      <w:r>
        <w:rPr>
          <w:b/>
        </w:rPr>
        <w:t>E. 1.1</w:t>
      </w:r>
    </w:p>
    <w:p>
      <w:r>
        <w:t>Anfechtungsgegenstand ist vorliegend die Verfügung der Vorinstanz vom 13. September 2011, mit der sie festgestellt hat, dass die von der A._______ gemäss den AVB des "D._______", Ausgabe 01.2007 (C._______ F._______ und G._______ bzw. B._______) nach Art. 23 und 25 sowie nach Art. 24 (E._______) und den damit zusammenhängenden Artikeln gewährten nachträglichen Rabatten unter dem Titel "Erfolgsbeteiligung" gesetzwidrig seien. Ferner hat sie angeordnet, dass die nachträgliche Rabattierung ab dem 1. Januar 2012 nicht mehr angewendet werden dürfe (Ziff. 1), dass die transitorischen Passiven des Kontos "Auszahlung C._______" ab dem 1. Januar 2012 ordnungsgemäss aufzulösen seien (Ziff. 2) und dass die A._______ die Aufhebung der Erfolgsbeteiligung gemäss dem "D._______" den betroffenen Versicherten mit der Kommunikation der neuen Prämien mitzuteilen habe (Ziff. 3).</w:t>
      </w:r>
    </w:p>
    <w:p>
      <w:r>
        <w:rPr>
          <w:b/>
        </w:rPr>
        <w:t>E. 1.2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des Bundesgesetzes vom 20. Dezember 1968 über das Verwaltungsverfahren (VwVG; SR 172.021).</w:t>
      </w:r>
    </w:p>
    <w:p>
      <w:r>
        <w:rPr>
          <w:b/>
        </w:rPr>
        <w:t>E. 1.3</w:t>
      </w:r>
    </w:p>
    <w:p>
      <w:r>
        <w:t>Nach Art. 62 Abs. 4 VwVG sind Gerichte gemäss dem Grundsatz der Rechtsanwendung von Amtes wegen nicht an die Begründung der Begehren der Parteien gebunden.</w:t>
      </w:r>
    </w:p>
    <w:p>
      <w:r>
        <w:rPr>
          <w:b/>
        </w:rPr>
        <w:t>E. 2.1</w:t>
      </w:r>
    </w:p>
    <w:p>
      <w:r>
        <w:t>Die Genehmigung eines beantragten Prämientarifs bzw. deren Verweigerung stellt eine anfechtbare Verfügung nach Art. 5 Abs. 1 VwVG dar, bei deren Erlass die Vorschriften des VwVG zu beachten sind, und gegen die die Beschwerde an das Bundesverwaltungsgericht grundsätzlich zulässig ist (BVGE 2009/65 E. 1.2 mit weiteren Hinweisen). Im Übrigen gelten Anordnungen einer Aufsichtsbehörde gegenüber Versicherern in deren Eigenschaft als Durchführungsorgan der obligatorischen Krankenpflegeversicherung (OKP) nicht als anfechtbare Verfügungen gemäss Art. 5 Abs. 1 VwVG (RKUV 4/1997 S. 216 ff. und RKUV 6/1997 S. 399 ff.).</w:t>
      </w:r>
    </w:p>
    <w:p>
      <w:r>
        <w:rPr>
          <w:b/>
        </w:rPr>
        <w:t>E. 2.2</w:t>
      </w:r>
    </w:p>
    <w:p>
      <w:r>
        <w:t>In der angefochtenen Verfügung vom 13. September 2011 stellt die Vorinstanz fest, dass die von der A._______ gemäss den AVB des "D._______", Ausgabe 01.2007 (C._______ F._______ und G._______ bzw. B._______) gewährten nachträglichen Rabatte unter dem Titel "Erfolgsbeteiligung" gesetzwidrig seien, und ordnet an, welche Massnahmen die Beschwerdeführerin im Hinblick auf die Prämiengenehmigung für das Jahr 2012 zu treffen habe.</w:t>
      </w:r>
    </w:p>
    <w:p>
      <w:r>
        <w:rPr>
          <w:b/>
        </w:rPr>
        <w:t>E. 2.3</w:t>
      </w:r>
    </w:p>
    <w:p>
      <w:r>
        <w:t>Es handelt sich dabei um eine Zwischenverfügung im Rahmen des Verwaltungsverfahrens zur Genehmigung des Prämientarifs 2012; die Zuständigkeit des Bundesverwaltungsgerichts ergibt sich aufgrund seiner Zuständigkeit in der Hauptsache (Art. 31 und Art. 33 Bst. d des Verwaltungsgerichtsgesetzes vom 17. Juni 2005 [VGG; SR 173.32] i.V.m. Art. 61 Abs. 5 des Bundesgesetzes über die Krankenversicherung vom 18. März 1994 [KVG; SR 832.10] und Art. 92 Abs. 1 der Verordnung über die Krankenversicherung vom 27. Juni 1995 [KVV; SR 832.102]).</w:t>
      </w:r>
    </w:p>
    <w:p>
      <w:r>
        <w:rPr>
          <w:b/>
        </w:rPr>
        <w:t>E. 2.4</w:t>
      </w:r>
    </w:p>
    <w:p>
      <w:r>
        <w:t>Gegen eine solche Zwischenverfügung ist die Beschwerde unter anderem dann zulässig, wenn sie einen nicht wieder gutzumachenden Nachteil bewirken kann (Art. 46 Abs. 1 Bst. a VwVG). Dies ist vorliegend zu verneinen, nachdem die Vorinstanz am 26. September 2011 die Endverfügung betreffend die Genehmigung des Prämientarifs 2012 erlassen und die Beschwerdeführerin auch diese Verfügung mit Eingabe vom 25. Oktober 2011 angefochten hat (vgl. Beschwerdeverfahren C-5896/2011).</w:t>
      </w:r>
    </w:p>
    <w:p>
      <w:r>
        <w:rPr>
          <w:b/>
        </w:rPr>
        <w:t>E. 2.5</w:t>
      </w:r>
    </w:p>
    <w:p>
      <w:r>
        <w:t>Bei dieser Sachlage erübrigt sich die Prüfung von Art. 46 Abs. 1 Bst. b VwVG, wonach die Beschwerde gegen eine selbständig eröffnete Zwischenverfügung zulässig ist, wenn die Gutheissung der Beschwerde sofort einen Endentscheid herbeiführen und damit einen bedeutenden Aufwand an Zeit und Kosten für ein weitläufiges Beweisverfahren ersparen würde.</w:t>
      </w:r>
    </w:p>
    <w:p>
      <w:r>
        <w:rPr>
          <w:b/>
        </w:rPr>
        <w:t>E. 2.6</w:t>
      </w:r>
    </w:p>
    <w:p>
      <w:r>
        <w:t>Da die Beschwerde gegen die Zwischenverfügung vom 13. September 2013 somit unzulässig ist, ist diese durch Beschwerde gegen die Endverfügung anfechtbar, soweit sie sich auf den Inhalt der Endverfügung vom 26. September 2011 ausgewirkt hat (vgl. Art. 46 Abs. 2 VwVG).</w:t>
      </w:r>
    </w:p>
    <w:p>
      <w:r>
        <w:rPr>
          <w:b/>
        </w:rPr>
        <w:t>E. 2.7</w:t>
      </w:r>
    </w:p>
    <w:p>
      <w:r>
        <w:t>Aufgrund der vorstehenden Erwägungen ergibt sich, dass auf die Beschwerde vom 17. Oktober 2011 nicht einzutreten ist.</w:t>
      </w:r>
    </w:p>
    <w:p>
      <w:r>
        <w:rPr>
          <w:b/>
        </w:rPr>
        <w:t>E. 3</w:t>
      </w:r>
    </w:p>
    <w:p>
      <w:r>
        <w:t>Zu befinden bleibt noch über die Verfahrenskosten und eine allfällige Parteientschädigung.</w:t>
      </w:r>
    </w:p>
    <w:p>
      <w:r>
        <w:rPr>
          <w:b/>
        </w:rPr>
        <w:t>E. 3.1</w:t>
      </w:r>
    </w:p>
    <w:p>
      <w:r>
        <w:t>Gemäss Art. 63 Abs. 1 VwVG ist das Beschwerdeverfahren vor dem Bundesverwaltungsgericht kostenpflichtig und werden die Verfahrenskosten in der Regel der unterliegenden Partei auferlegt. Die Gerichtsgebühr bemisst sich nach Umfang und Schwierigkeit der Streitsache, Art der Prozessführung und finanzieller Lage der Parteien (Art. 63 Abs. 4bis VwVG, Art. 2 Abs. 1 des Reglement vom 21. Februar 2008 über die Kosten und Entschädigungen vor dem Bundesverwaltungsgericht [VGKE, SR 173.320.2]). Die Verfahrenskosten sind in Berücksichtigung sämtlicher dieser Kriterien, des Verfahrensausgangs und des erforderlichen Aufwands auf Fr. 2'000.- festzulegen und mit dem bereits geleisteten Verfahrenskostenvorschuss von Fr. 4'000.- zu verrechnen; die Restanz von Fr. 2'000.- ist der Beschwerdeführerin nach Eintritt der Rechtskraft des vorliegenden Nichteintretensentscheids zurückzuerstatten.</w:t>
      </w:r>
    </w:p>
    <w:p>
      <w:r>
        <w:rPr>
          <w:b/>
        </w:rPr>
        <w:t>E. 3.2</w:t>
      </w:r>
    </w:p>
    <w:p>
      <w:r>
        <w:t>Der Beschwerdeführerin ist aufgrund des Verfahrensausgangs keine Parteientschädigung zuzusprechen (Art. 64 Abs. 1 VwVG i. V. m. Art. 7 Abs. 1 VGKE e contrario). Die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