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C-5730/2009 vom 28. März 2011</w:t>
      </w:r>
    </w:p>
    <w:p>
      <w:r>
        <w:t>Bundesverwaltungsgericht, 2011-03-28, FR</w:t>
      </w:r>
    </w:p>
    <w:p>
      <w:r>
        <w:rPr>
          <w:b/>
        </w:rPr>
        <w:t xml:space="preserve">Quelle: </w:t>
      </w:r>
      <w:r>
        <w:t>https://mcp.opencaselaw.ch/entscheid/bvger_C-5730_2009</w:t>
      </w:r>
    </w:p>
    <w:p>
      <w:r>
        <w:t>FR: TAF C-5730/2009 du 28 mars 2011</w:t>
      </w:r>
    </w:p>
    <w:p>
      <w:r>
        <w:t>IT: TAF C-5730/2009 del 28 marzo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w:t>
      </w:r>
    </w:p>
    <w:p>
      <w:r>
        <w:rPr>
          <w:b/>
        </w:rPr>
        <w:t>E. 4</w:t>
      </w:r>
    </w:p>
    <w:p>
      <w:r>
        <w:t>L'intéressé a déposé sa demande de rente le 13 décembre 2004.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13 décembre 2003, en fait in casu le 1er novembre 2004 compte tenu du délai d'attente d'une année selon l'art. 29 al. 1 let. b LAI en vigueur jusqu'au 31 décembre 2007 (actuellement art. 28 al. 1 LAI) pour percevoir une rente eu égard au cas d'assurance survenu le 4 novembre 2003, ou si le droit à une rente était né entre cette dernière date et le 10 août 2009, date de la décision attaquée marquant la limite dans le temps du pouvoir d'examen de l'autorité de recours (ATF 129 V 1 consid. 2.1 et ATF 121 V 362 consid. 1b).</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plusieurs années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6.4</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6.5</w:t>
      </w:r>
    </w:p>
    <w:p>
      <w:r>
        <w:t>En cas de décision simultanée sur l'octroi d'une rente et son remplacement par une autre rente ou même sa suppression, le changement est régi par l'art. 88a du règlement du 17 janvier 1961 sur l'assurance-invalidité (RAI, RS 831.301)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7</w:t>
      </w:r>
    </w:p>
    <w:p>
      <w:r>
        <w:t>Le recourant a travaillé en Suisse pendant de nombreuses années comme chauffeurs poids-lourds puis en dernier lieu dans l'industrie légère en tant qu'ouvrier-opérateur chargé du contrôle et du réglage de machines. Il n'a plus repris d'activité entre novembre 2003, suite à l'opération de sa hanche gauche, et sa nouvelle activité de chauffeur reprise le 9 juin 2008, date à partir de laquelle il n'a plus présenté d'invalidité.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a souffert d'une coxarthrose bilatérale avec complications ensuite des opérations subies aux deux hanches et qu'il n'a pu reprendre son dernier emploi essentiellement en position debout. Il a toutefois retrouvé un emploi excluant tout droit à une rente à compter de juin 2008. Eu égard au fait qu'il n'y a pas eu un état de santé stabilisé, la let. a de l'art. 29 al. 1 LAI en vigueur jusqu'au 31 décembre 2007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10.2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11.1</w:t>
      </w:r>
    </w:p>
    <w:p>
      <w:r>
        <w:t>L'objet du présent litige est de savoir si c'est à juste titre que l'autorité inférieure a retenu par ses trois décisions du 10 août 2009 une amélioration de santé de l'intéressé au sens de l'art. 17 LPGA, comme elle le défend, pour fonder ses cessations successives du droit à la rente qui ont pris effet du 1er août 2005 au 30 avril 2006, du 1er décembre 2006 au 31 mai 2007 et à compter du 1er février 2008. Celles-ci ont été motivées par une capacité de travail de 100% avec un rendement de 70% du 1er mai 2005 au 17 mai 2006, du 19 août 2006 au 21 juin 2007 et dès le 1er novembre 2007 limitant le préjudice économique à un taux d'invalidité n'ouvrant pas le droit à une rente. L'autorité inférieure se fonde essentiellement pour confirmer ses décisions du 10 août 2009 sur le rapport SMR du 3 août 2005 du Dr B._______, chirurgie orthopédique, établi sur dossier, confirmé par la Dresse C._______ du SMR le 16 août suivant et confirmé à nouveau par le Dr B._______ dans son rapport du 4 août 2008 après avoir vu l'intéressé le 21 juillet précédent.</w:t>
      </w:r>
    </w:p>
    <w:p>
      <w:r>
        <w:rPr>
          <w:b/>
        </w:rPr>
        <w:t>E. 11.2</w:t>
      </w:r>
    </w:p>
    <w:p>
      <w:r>
        <w:t>L'intéressé a été opéré des deux hanches respectivement les 28 novembre 2003 et le 14 septembre 2004. Il n'est pas contesté qu'il est resté en incapacité de travail totale pendant une année à compter de sa première opération et qu'un droit à une rente entière s'est ouvert au 1er novembre 2004. Dans un rapport sur dossier du 3 août 2005 le Dr B._______ du SMR retint dans son anamnèse les deux opérations précitées sans évoquer de difficultés postopératoires et estima une reprise de travail possible à 100% dans une activité adaptée avec un rendement de 70% depuis le 1er mai 2005. Cette appréciation, confirmée par la Dresse C._______ du SMR le 16 août 2005, n'a pas pris en compte les complications de l'intéressé et les douleurs alléguées en 2005 relatées par le Dr H._______ dans son rapport du 13 mai 2007 faisant notamment état des constatations du Dr J._______, spécialiste en médecine physique et de rééducation. Le rapport du Dr B._______ de 2008 ne discute de même pas les éléments du status de 2005. Par ailleurs, il y a lieu de relever que tant le Dr B._______ que la Dresse C._______ avaient indiqué que l'intéressé devait bénéficier au plus vite de mesures d'ordre professionnelle. Or ce n'est qu'en février 2006 que l'OAI-VD invita l'assuré, jusqu'alors maintenu dans un status d'invalide pouvant se considérer comme tel, à un entretien à cette fin au cours duquel il fut constaté que de telles mesures n'avaient pas lieu d'être en raison d'un status non stabilisé et de la nécessité d'une prochaine intervention qui eu effectivement lieu le 19 mai suivant. Il s'ensuit que l'amélioration au 1er mai 2005 telle que retenue par l'OAIE ne peut être confirmée. S'agissant de l'amélioration de santé retenue du 19 août 2006 au 21 juin 2007, il y a lieu de relever que celle-ci s'est faite dans l'abstrait tenant compte d'une période théorique de récupération postopératoire de trois mois usuelle et non discutée en contradiction avec l'appréciation du Dr G._______ ayant retenu en connaissance de l'intéressé une période de neuf mois. Par ailleurs il sied de souligner que le Dr H._______ avait relevé le 27 avril 2007 que la consolidation n'était pas complète et qu'il n'était pas possible de quantifier l'incapacité de travail, laquelle avait été qualifiée d'inexistante par le Dr I._______ à compter du 8 janvier 2007. Les avis contraires à ceux retenus par les rapports SMR n'ayant pas été discutés, le Tribunal de céans ne peut dès lors confirmer la deuxième amélioration de santé retenue par l'OAIE. Enfin, s'agissant de l'amélioration de santé retenue du 1er novembre 2007 au 8 juin 2008 - à compter du 9 juin 2008 il est admis que l'intéressé a recouvré une pleine capacité de travail -, qui a fait suite à la nouvelle opération de la hanche gauche, celle-ci se fonde sur une appréciation théorique d'un temps de convalescence usuel indépendamment des difficultés qui l'ont accompagnée. Or, pour cette période les médecins traitant de l'assuré ont retenu une capacité de travail de 50% qui avait d'ailleurs été retenue pour novembre et décembre 2007 dans le premier projet d'octroi de rentes. A ce sujet le rapport du 4 août 2008 du Dr B._______ n'indique pas pour quelle raison une capacité de travail de 50% telle que retenue dans le premier projet ne devrait pas l'être, pas plus qu'il ne se prononce sur l'appréciation contradictoire du Dr E._______ retenant une capacité de travail de 50% depuis le 1er novembre 2007. Par ailleurs, l'intéressé fit valoir pour cette période un syndrome dépressif qui n'aurait pas été discuté. C'est toutefois à juste titre qu'il ne le fut pas faute d'élément médical documentant ce diagnostic.</w:t>
      </w:r>
    </w:p>
    <w:p>
      <w:r>
        <w:rPr>
          <w:b/>
        </w:rPr>
        <w:t>E. 11.3</w:t>
      </w:r>
    </w:p>
    <w:p>
      <w:r>
        <w:t>Compte tenu de ce qui précède et notamment des diverses contradictions relevées dans ce dossier dont les avis contradictoires ne sont pas discutés pour être cas échéant écartés, il y a lieu d'annuler les décisions rendues et de renvoyer le dossier à l'autorité inférieure afin que celle-ci se détermine à nouveau sur le droit à une rente d'invalidité jusqu'au 8 juin 2008 en procédant à un complément d'instruction du point de vue médical.</w:t>
      </w:r>
    </w:p>
    <w:p>
      <w:r>
        <w:rPr>
          <w:b/>
        </w:rPr>
        <w:t>E. 12.1</w:t>
      </w:r>
    </w:p>
    <w:p>
      <w:r>
        <w:t>Le recourant ayant eu partiellement gain de cause il n'est pas perçu de frais de procédure et l'avance de frais versée de Fr. 300.- lui est restituée.</w:t>
      </w:r>
    </w:p>
    <w:p>
      <w:r>
        <w:rPr>
          <w:b/>
        </w:rPr>
        <w:t>E. 12.2</w:t>
      </w:r>
    </w:p>
    <w:p>
      <w:r>
        <w:t>Le recourant ayant agi en étant représenté, il lui est alloué une indemnité globale de dépens à charge de l'autorité inférieure de Fr. 3'000.-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