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C-5725/2009 vom 4. August 2009</w:t>
      </w:r>
    </w:p>
    <w:p>
      <w:r>
        <w:t>Bundesverwaltungsgericht, 2009-08-04, IT</w:t>
      </w:r>
    </w:p>
    <w:p>
      <w:r>
        <w:rPr>
          <w:b/>
        </w:rPr>
        <w:t xml:space="preserve">Quelle: </w:t>
      </w:r>
      <w:r>
        <w:t>https://mcp.opencaselaw.ch/entscheid/bvger_C-5725_2009</w:t>
      </w:r>
    </w:p>
    <w:p>
      <w:r>
        <w:t>FR: TAF C-5725/2009 du 4 août 2009</w:t>
      </w:r>
    </w:p>
    <w:p>
      <w:r>
        <w:t>IT: TAF C-5725/2009 del 4 agosto 2009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l'applicazione delle nuove norme della 5a revisione della LAI per il periodo dal 1° gennaio al 4 agosto 2009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4 aprile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4 aprile 2006 (ossia 12 mesi precedenti la presentazione della domanda), oppure se un diritto alla rendita sia sorto tra tale data e il 4 agosto 2009,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Il ricorrente ha versato contributi all'AVS/AI svizzera per più di 10 anni (doc. 98)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sindrome astenico-dispnoica cronica in cardiomiopatia dilatativa con ipertensione in difficile controllo farmacologico, asma bronchiale intrinseco e broncopneumopatia cronica ostruttiva (cfr. perizia medica particolareggiata E 213 del 12 febbraio 2009 [doc. 28] e rapporto del dott. D._______ del 30 aprile 2009 [doc. 30]).</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In particolare, ha lavorato alle dipendenze dell'B._______ e poi della società C._______, come portinaio, in ragione di 36 ore alla settimana, dal giugno del 1988 fino al 28 febbraio 2007, allorquando ha cessato l'attività a seguito di dimissioni (doc. 8 e 9).</w:t>
      </w:r>
    </w:p>
    <w:p>
      <w:r>
        <w:rPr>
          <w:b/>
        </w:rPr>
        <w:t>E. 10.3</w:t>
      </w:r>
    </w:p>
    <w:p>
      <w:r>
        <w:t>L'autorità inferiore ha respinto la domanda di rendita dell'assicurazione svizzera per l'invalidità fondandosi sulle valutazioni del dott. D._______, medico dell'UAIE. Quest'ultimo, in particolare nei rapporti del 30 aprile e 26 luglio 2009 (doc. 30 e 41), ha rilevato che il ricorrente è certo affetto da una broncopneumopatia cronica ostruttiva con riacutizzazioni. Sennonché, anche dopo l'ultima riacutizzazione, l'assicurato si è ristabilito successivamente ad un periodo trascorso in casa di cura (dal 28 marzo 2008 al 18 aprile 2008 [doc. 27]). Ha altresì constatato che dalla perizia medica E 213 del febbraio 2009 emerge che le condizioni di salute permettono all'assicurato di svolgere regolari lavori leggeri. Il medico dell'UAIE ha peraltro considerato che l'affezione pneumologica di cui soffre l'insorgente impedisce certo l'esercizio d'attività pesanti, nonché di quelle con esposizione alla polvere, ma non d'attività leggere quale quella di portinaio (esercitata per ultimo). Ha pure sottolineato che il ricorrente presenta una frazione di eiezione (F.E.) del 40% (recte: 45%), valore compatibile con l'esercizio di un'attività leggera. Ha quindi concluso che il ricorrente presenta, dal 1988, una capacità lavorativa dell'80% sia nella sua precedente attività di portinaio sia in un'altra attività leggera adeguata.</w:t>
      </w:r>
    </w:p>
    <w:p>
      <w:r>
        <w:rPr>
          <w:b/>
        </w:rPr>
        <w:t>E. 10.4</w:t>
      </w:r>
    </w:p>
    <w:p>
      <w:r>
        <w:t>Questo Tribunale non ravvisa motivo di scostarsi, nella sostanza, dalla valutazione dell'autorità inferiore - fondata sulle prese di posizione del dott. D._______ - secondo la quale il ricorrente presenta, nel periodo determinante (che va dal 4 aprile 2006 al 4 agosto 2009), una residua capacità lavorativa comunque superiore al 40% nella sua precedente attività di portinaio. In effetti, e come rettamente rilevato dal medico dell'UAIE, dagli atti di causa emerge in particolare che l'asma bronchiale è di moderata entità (cfr. certificati pneumologici del gennaio 2007 e del febbraio 2008 [doc. 13, 26 e 27]), con intercorrenti riacutizzazioni da cui il ricorrente si è comunque sempre prontamente ristabilito. Per quanto attiene alla problematica cardiaca, nei referti di visita cardiaca del luglio 2007 (doc. 15 e 16) è fatto stato di una cardiomiopatia dilatativa in compenso emodinamico ed indicato che il ricorrente presenta segnatamente lieve dilatazione del ventricolo destro, moderata dilatazione del ventricolo sinistro, ma con spessori e cinesi parietali nei limiti e bulbo aortico, atrio sinistro e atrio destro nei limiti della norma. Peraltro, il referto di ecocolordopplergrafia cardiaca del gennaio 2008 (doc. 25) evidenzia dei valori cardiaci per la maggior parte nella norma ed una frazione d'eiezione del 45%, frazione d'eiezione compatibile, secondo il medico dell'UAIE, con l'attività di portinaio svolta per ultimo dal ricorrente.</w:t>
      </w:r>
    </w:p>
    <w:p>
      <w:r>
        <w:rPr>
          <w:b/>
        </w:rPr>
        <w:t>E. 10.5</w:t>
      </w:r>
    </w:p>
    <w:p>
      <w:r>
        <w:t>Certo, nella perizia medica particolareggiata E 213 del 12 febbraio 2009 (doc. 28), l'insorgente non è stato ritenuto capace di svolgere il suo precedente lavoro. Detta valutazione medica non è condivisibile. Da un lato, perché risulta difficilmente compatibile con la diagnosi e le limitazioni funzionali accertate nella perizia stessa (doc. 47 pag. 3 e 4 n. 4.4, 4.5.1, 4.5.5 e 4.10) e nei documenti su cui si fonda. Dall'altro lato, poiché il medico incaricato del rapporto E 213 ha considerato lui stesso che l'insorgente è in grado di svolgere regolari lavori leggeri, più precisamente lavorio leggeri a tempo pieno, per poi indicare, senza ulteriori specificazioni, che l'assicurato non è però in grado di svolgere la sua precedente attività di portinaio. Tuttavia, lo stesso datore di lavoro dell'insorgente ha definito l'ultima attività da questi svolta come leggera (doc. 8, pto 3a.). Da quanto esposto, discende che non vi è nuovamente alcun motivo di scostarsi dall'apprezzamento effettuato dal medico dell'UAIE, motivo che non è ravvisabile neppure nella diversa valutazione che viene fatta in Italia del grado d'invalidità del ricorrente, valutazione che non vincola di principio le autorità svizzere nell'apprezzamento del caso secondo il diritto svizzero (v. sentenza del Tribunale federale I 435/02 del 4 febbraio 2003 consid. 2 nonché consid. 2.4 del presente giudizio). Dai documenti concernenti la rendita d'invalidità italiana (doc. 14 e 32) non emerge altresì alcuna seria ragione per scostarsi dal principio generale. Infine, che nella perizia particolareggiata E 213 sia menzionato che l'insorgente è depresso, senza che via sia peraltro una qualsivoglia precisazione al riguardo e senza che sia poi riportata una specifica diagnosi, non permette di considerare l'esistenza di un'affezione avente un'incidenza sulla capacità lavorativa.</w:t>
      </w:r>
    </w:p>
    <w:p>
      <w:r>
        <w:rPr>
          <w:b/>
        </w:rPr>
        <w:t>E. 10.6</w:t>
      </w:r>
    </w:p>
    <w:p>
      <w:r>
        <w:t>Il ricorrente ha certo fatto valere, in sede di ricorso, di avere sicuramente diritto ad una rendita in quanto inabile al 100% a svolgere qualsiasi attività. Sennonché, agli atti di causa non figura alcun documento medico di data anteriore alla decisione impugnata che concluda, in modo convincente, ad un'incapacità totale dell'insorgente nella sua precedente attività. In particolare, non soccorre l'insorgente la relazione medica del 23 giugno 2009 del dott. F._______ (doc. TAF 1), relazione peraltro già oggetto di analisi da parte del medico dell'UAIE (cfr. rapporto del 26 luglio 2009; doc. 41). La stessa si esaurisce essenzialmente in una semplice enumerazione di affezioni di cui soffrirebbe il ricorrente, che non è corroborata da riscontri medici oggettivi, in un esame obiettivo estremamente sommario ed in un generico apprezzamento delle conseguenze delle affezioni, che appare peraltro fondarsi su una valutazione dell'invalidità come vigente in Italia non conciliabile con il sistema svizzero.</w:t>
      </w:r>
    </w:p>
    <w:p>
      <w:r>
        <w:rPr>
          <w:b/>
        </w:rPr>
        <w:t>E. 10.7</w:t>
      </w:r>
    </w:p>
    <w:p>
      <w:r>
        <w:t>In conclusione, il ricorrente non ha presentato argomenti o mezzi di prova suscettibili di far sorgere dei dubbi sulla valutazione dell'incapacità lavorativa del dott. D._______ e neppure dubbi tali da giustificare perlomeno delle ulteriori investigazioni mediche.</w:t>
      </w:r>
    </w:p>
    <w:p>
      <w:r>
        <w:rPr>
          <w:b/>
        </w:rPr>
        <w:t>E. 11</w:t>
      </w:r>
    </w:p>
    <w:p>
      <w:r>
        <w:t>Infine, questo Tribunale osserva, con riferimento alla valutazione del grado d'invalidità del ricorrente, che l'autorità inferiore ha implicitamente ritenuto che presentando l'insorgente ancora una residua capacità lavorativa dell'80% nella sua precedente professione di portinaio, il tasso d'incapacità lavorativa corrisponde al grado d'invalidità ("Prozentvergleich"). Così agendo ha ritenuto che la determinazione del grado d'invalidità non presupponesse né la presa in considerazione dell'età del ricorrente o del mercato equilibrato del lavoro né un raffronto dei redditi ipotetici, ma che il tasso d'incapacità lavorativa corrispondesse al grado d'invalidità (cfr. sentenza del Tribunale federale 9C_947/2008 del 29 maggio 2009). La questione di sapere se tale modo di procedere sia compatibile con la giurisprudenza del Tribunale federale oppure se si fosse dovuto procedere ad un confronto dei redditi di riferimento (cfr., sulla questione, in particolare la sentenza del Tribunale federale 9C_100/2010 del 23 marzo 2010), può essere lasciata indecisa, ritenuto che l'applicazione del metodo generale del raffronto dei redditi non comporterebbe comunque un grado d'invalidità uguale o superiore al 40% suscettibile di giustificare la concessione di una rendita d'invalidità svizzera. Dal raffronto fra il reddito mensile da valido di Euro 1'280.96 conseguibile come portiere nel 2008 (secondo le indicazioni del datore di lavoro [doc. 8]) e quello da invalido di Euro 1'024.76 ottenibile nella medesima attività (Euro 1'280.96 con una diminuzione del 20% poiché l'insorgente può svolgere tale attività solo nella misura dell'80%), discenderebbe un grado d'invalidità del 20%. Infine, qualora si ritenesse che il salario da valido e da invalido non potrebbero essere calcolati sulla base dei redditi conseguiti prima e dopo l'invalidità, bisognerebbe allora ricorrere alla pertinenti tabelle per la fissazione del salario determinante (sentenza del Tribunale federale 9C_100/2010 del 23 marzo 2010 consid. 2.3.1 in fine e relativi riferimenti), con la conseguenza che il grado d'invalidità corrisponderebbe allora al grado d'incapacità lavorativa con riserva della riduzione giurisprudenziale di cui a DTF 126 V 75 (cfr. sulla questione la sentenza del Tribunale federale 9C_100/2010 del 23 marzo 2010 consid. 2.3.2.2). Il risultato finale non cambierebbe ([1-{0.8x1}] x 100 = 20%), quand'anche si volesse, per denegata ipotesi, operare nel caso concreto una generosa riduzione del 10% ([1-{0.8x0.9}] x 100= 28%), nel senso che non sarebbero comunque dati, come già rilevato, i presupposti per l'erogazione di una rendita d'invalidità secondo il diritto svizzero.</w:t>
      </w:r>
    </w:p>
    <w:p>
      <w:r>
        <w:rPr>
          <w:b/>
        </w:rPr>
        <w:t>E. 12</w:t>
      </w:r>
    </w:p>
    <w:p>
      <w:r>
        <w:t>Da quanto esposto, consegue che il ricorso non merita tutela e la decisione impugnata va confermata.</w:t>
      </w:r>
    </w:p>
    <w:p>
      <w:r>
        <w:rPr>
          <w:b/>
        </w:rPr>
        <w:t>E. 13.1</w:t>
      </w:r>
    </w:p>
    <w:p>
      <w:r>
        <w:t>Visto l'esito della causa, le spese processuali, che seguono la soccombenza, dovrebbero di principio essere poste a carico del ricorrente (art. 63 PA e art. 3 lett. b del regolamento sulle tasse e sulle spese ripetibili nelle cause dinanzi al Tribunale amministrativo federale [TS-TAF, RS 173.320.2]). Il ricorrente ha chiesto l'assistenza giudiziaria, nel senso della dispensa dal versamento delle spese processuali (art. 65 cpv. 1 PA). Secondo dottrina e giurisprudenza, i presupposti per la concessione dell'assistenza giudiziaria sono di massima adempiuti se l'istante si trova nel bisogno e se le sue conclusioni non sembrano dovere avere esito sfavorevole (DTF 119 Ia 11). Una parte si trova nel bisogno, giusta l'art. 65 cpv. 1 PA, qualora non possa pagare le spese giudiziarie senza pregiudizio dei mezzi necessari al suo mantenimento e a quello della sua famiglia (DTF 128 I 225 consid. 2.5.1). Se la parte che domanda l'assistenza giudiziaria è coniugata, occorre tenere conto pure dei redditi del coniuge (DTF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(cfr. sentenza del Tribunale federale delle assicurazioni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sentenza del Tribunale delle assicurazioni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(la giurisprudenza federale garantendo una riserva di soccorso ["Notgroschen"]), deve di principio attingere alla propria sostanza (v. pure DTF 119 Ia 11 sull'esigibilità, per il richiedente, di gravare un immobile e di assumersi un [ulteriore] debito ipotecario). Ora, nel caso concreto il ricorrente non ha né debitamente compilato il formulario "Gratuito patrocinio" sottopostogli da questo Tribunale (v. doc. TAF 5 nel quale è stata lasciata in bianco segnatamente tutta la parte concernente la sostanza [oltre che quella concernente le spese mensili]) né prodotto un documento suscettibile di dimostrare, con il necessario grado della verosimiglianza, il suo stato d'indigenza. Da quanto esposto, consegue che l'insorgente deve sopportare le conseguenze della mancata dimostrazione dello stato di bisogno - ossia del fatto che non possiede sufficienti mezzi per pagare le spese processuali, peraltro limitate a soli fr. 400.--, inerenti alle presente procedura ricorsuale - di modo che la sua domanda d'assistenza giudiziaria, nel senso della dispensa dalle spese processuali, è respinta.</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