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C-5725/2007 vom 8. April 2009</w:t>
      </w:r>
    </w:p>
    <w:p>
      <w:r>
        <w:t>Bundesverwaltungsgericht, 2009-04-08, FR</w:t>
      </w:r>
    </w:p>
    <w:p>
      <w:r>
        <w:rPr>
          <w:b/>
        </w:rPr>
        <w:t xml:space="preserve">Quelle: </w:t>
      </w:r>
      <w:r>
        <w:t>https://mcp.opencaselaw.ch/entscheid/bvger_C-5725_2007</w:t>
      </w:r>
    </w:p>
    <w:p>
      <w:r>
        <w:t>FR: TAF C-5725/2007 du 8 avril 2009</w:t>
      </w:r>
    </w:p>
    <w:p>
      <w:r>
        <w:t>IT: TAF C-5725/2007 del 8 aprile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X._______ a qualité pour recourir (cf. art. 48 al. 1 PA). Son recours, présenté dans la forme et les délais prescrits par la loi, est recevable (cf. art. 50 et 52 PA).</w:t>
      </w:r>
    </w:p>
    <w:p>
      <w:r>
        <w:rPr>
          <w:b/>
        </w:rPr>
        <w:t>E. 2</w:t>
      </w:r>
    </w:p>
    <w:p>
      <w:r>
        <w:t>Dans ses écritures du 10 décembre 2007, le recourant a requis qu'il soit procédé à l'audition de V._______. Or, la procédure en matière de recours administratif est en principe écrite (cf. Jurisprudence des autorités administratives de la Confédération [JAAC] 56.5 ; FRITZ GYGI, Bundesverwaltungsrechtspflege, Berne, 1983, p. 65 et 70) ; il n'est donc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aucun complément d'instruction. L'autorité est en effet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 La requête tendant à l'audition de la prénommée est, dès lors, rejetée.</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482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 voir également arrêt du Tribunal fédéral 5A.11/2003 du 31 juillet 2003 consid. 3.3.1). Une demande en divorce déposée peu après l'obtention de la naturalisation facilitée est un indice d'absence de cette volonté lors de l'octroi de la nationalité suisse (ATF 128 II 97 consid. 3a). Il en va de même lorsque les époux se séparent peu de temps après que le conjoint étranger a obtenu la naturalisation facilitée (ATF 130 II 482 consid. 2 ; cf. également arrêts du Tribunal fédéral 1C_388/2008 du 24 novembre 2008 consid. 3 et 1C_428/2008 du 27 octobre 2008 consid. 2). Dans ces circonstances, il y a lieu de présumer que la communauté conjugale n'était plus étroite et effective durant la procédure de naturalisation facilitée, la volonté réciproque des époux de poursuivre leur vie commune n'existant plus alors (ATF 130 II 482 consid. 3.1).</w:t>
      </w:r>
    </w:p>
    <w:p>
      <w:r>
        <w:rPr>
          <w:b/>
        </w:rPr>
        <w:t>E. 4.2</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 cf. également ATF 130 II 482 consid. 2 et 129 II 401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(cf. art. 41 al. 1 LN ; cf. également Message du Conseil fédéral relatif à un projet de loi sur l'acquisition et la perte de la nationalité suisse du 9 août 1951, FF 1951 II 700/701, ad art. 39 du projet).</w:t>
      </w:r>
    </w:p>
    <w:p>
      <w:r>
        <w:rPr>
          <w:b/>
        </w:rPr>
        <w:t>E. 5.1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et les arrêts cités ; voir également arrêt du Tribunal fédéral 1C_504/2008 du 5 mars 2009 consid. 2.1).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1C_439/2008 du 6 novembre 2008 consid. 2).</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 voir également arrêt du Tribunal fédéral 1C_504/2008 précité).</w:t>
      </w:r>
    </w:p>
    <w:p>
      <w:r>
        <w:rPr>
          <w:b/>
        </w:rPr>
        <w:t>E. 5.2.1</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voir également ATF 132 II 113 consid. 3.2), mais encore de son propre intérêt, de renverser cette présomption (cf. ATF 130 II 482 consid. 3.2).</w:t>
      </w:r>
    </w:p>
    <w:p>
      <w:r>
        <w:rPr>
          <w:b/>
        </w:rPr>
        <w:t>E. 5.2.2</w:t>
      </w:r>
    </w:p>
    <w:p>
      <w:r>
        <w:t>S'agissant d'une présomption de fait, qui ressortit à l'appréciation des preuves et ne modifie pas le fardeau de la preuve (cf. ATF 130 II 482),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II 482 ; voir également arrêt du Tribunal fédéral 1C_460/2008 du 3 février 2009 consid. 4.1 in fine et jurisprudence citée).</w:t>
      </w:r>
    </w:p>
    <w:p>
      <w:r>
        <w:rPr>
          <w:b/>
        </w:rPr>
        <w:t>E. 6</w:t>
      </w:r>
    </w:p>
    <w:p>
      <w:r>
        <w:t>A titre préliminaire, le Tribunal constate que les conditions formelles de l'annulation de la naturalisation facilitée prévues par l'art. 41 al. 1 LN sont réalisées dans le cas particulier. En effet, la naturalisation facilitée accordée le 11 novembre 2004 à X._______ a été annulée par l'autorité intimée le 26 juin 2007, soit avant l'échéance du délai péremptoire de cinq ans prévu par la disposition précitée, avec l'assentiment des autorités cantonales compétentes (cf. arrêt du Tribunal fédéral 1C_294/2007 du 30 novembre 2007 consid. 3.6).</w:t>
      </w:r>
    </w:p>
    <w:p>
      <w:r>
        <w:rPr>
          <w:b/>
        </w:rPr>
        <w:t>E. 7</w:t>
      </w:r>
    </w:p>
    <w:p>
      <w:r>
        <w:t>Il convient dès lors d'examiner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L'examen des faits pertinents de la cause, ainsi que leur déroulement chronologique, amènent le Tribunal à la conclusion que X._______ a obtenu la naturalisation facilitée sur la base de déclarations mensongères et d'une dissimulation de faits essentiels.</w:t>
      </w:r>
    </w:p>
    <w:p>
      <w:r>
        <w:rPr>
          <w:b/>
        </w:rPr>
        <w:t>E. 7.2</w:t>
      </w:r>
    </w:p>
    <w:p>
      <w:r>
        <w:t>En effet, le prénommé est arrivé en Suisse le 25 avril 1998. La demande d'asile qu'il y a déposée le 27 avril 1998 a été rejetée le 30 juillet 1998, ensuite de quoi un délai lui a été imparti pour quitter le territoire helvétique. Le 9 juin 1999, il a été admis provisoirement en vertu d'un arrêté du Conseil fédéral du 11 avril 1999, mesure levée en vertu d'un nouvel arrêté du 11 août 1999, avec effet au 16 août 1999. Or, le 7 août 1999, X._______ a pris pour épouse une citoyenne helvétique de près de quinze ans son aînée, rencontrée quelque trois mois auparavant et mère de deux enfants d'un premier lit. Partant, il a été mis au bénéfice d'une autorisation de séjour. Le 11 mars 2002, il a formé une première demande de naturalisation facilitée au sens de l'art. 27 LN, alors qu'il ne comptabilisait pas encore les cinq ans de résidence en Suisse prévus par cette disposition (cf. art. 27 al. 1 let. a LN). Il a réitéré sa requête près d'un an plus tard et a obtenu la nationalité suisse le 11 novembre 2004, après avoir contresigné, en date du 19 octobre 2004, une déclaration confirmant la stabilité de son mariage. Le couple s'est séparé le 1er mai 2005, après que le recourant eut quitté le domicile conjugal en date du 29 avril 2005. Le 4 avril 2006, les époux XV._______ ont déposé une requête commune en divorce qui a abouti à la dissolution de leur mariage par jugement du 8 novembre 2006. Ces éléments et leur enchaînement chronologique particulièrement rapide sont de nature à fonder la présomption que X._______ avait choisi d'épouser une ressortissante suisse dans le but prépondérant de s'installer dans ce pays et d'en obtenir ultérieurement la nationalité. L'écoulement d'un laps de temps aussi court entre la déclaration selon laquelle les ex-époux disaient former une communauté conjugale stable et durable (19 octobre 2004), l'octroi de la naturalisation facilitée (11 novembre 2004) et le départ du recourant du domicile conjugal (29 avril 2005) laisse présumer que la vie future partagée n'était plus envisagée lors de la signature de ladite déclaration, respectivement au moment du prononcé de la décision de naturalisation, et qu'à ce moment-là déjà, la stabilité conjugale requise n'existait plus, quand bien même les époux ne vivaient pas encore séparés. En effet, l'expérience générale de la vie enseigne qu'un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w:t>
      </w:r>
    </w:p>
    <w:p>
      <w:r>
        <w:rPr>
          <w:b/>
        </w:rPr>
        <w:t>E. 7.3.1</w:t>
      </w:r>
    </w:p>
    <w:p>
      <w:r>
        <w:t>Selon le recourant, au moment de la décision de naturalisation du 11 décembre 2004, il formait avec son ex-épouse une communauté conjugale forte et stable. Ce ne serait qu'au printemps 2005 que la séparation serait intervenue, lorsque son ex-épouse aurait décidé de mettre fin à leur mariage après s'être aperçue, au cours d'une session de formation suivie en France, qu'elle n'avait plus de sentiments pour son mari. Toujours de l'avis du recourant, la lettre de son ex-épouse du 28 mars 2007 constituerait la preuve indiscutable que la désunion ne serait intervenue qu'après la décision de naturalisation.</w:t>
      </w:r>
    </w:p>
    <w:p>
      <w:r>
        <w:rPr>
          <w:b/>
        </w:rPr>
        <w:t>E. 7.3.2</w:t>
      </w:r>
    </w:p>
    <w:p>
      <w:r>
        <w:t>Le Tribunal ne partage pas ce point de vue. Il considère que la lettre du 28 mars 2007 ne renverse pas la présomption d'absence d'existence d'une communauté conjugale stable et durable au moment de la déclaration des époux du 19 octobre 2004 et de la décision de naturalisation du 11 décembre 2004. En effet, la valeur probante de cette lettre doit être fortement relativisée, dès lors que son contenu n'est pas conciliable avec les déclarations de V._______ lors de son audition du 11 décembre 2006. Au cours de cet entretien, la prénommée a expliqué qu'elle avait faussement prétendu avoir rencontré un autre homme afin de faciliter la séparation (cf. procès-verbal du 11 décembre 2006 p. 6). Elle a allégué que son couple avait rencontré des problèmes conjugaux du fait que X._______ aidait financièrement sa famille au pays (cf. procès-verbal du 11 décembre 2006 p. 3) et a indiqué que la perception de la femme entretenue par le prénommé l'avait heurtée et que cette différence culturelle avait non seulement généré des problèmes conjugaux (qui avaient partiellement constitué la cause de la désunion) mais avait également réveillé en elle de profondes souffrances au cours de l'année 2003, raison pour laquelle elle avait entamé une psychothérapie (cf. procès-verbal de l'audition du 11 décembre 2006 pp. 3, 4 et 6). En outre, elle a exposé qu'à la signature de la déclaration commune du 19 octobre 2004, son union avec X._______ n'était pas stable. Priée d'expliquer pourquoi son époux s'était opposé au divorce en août 2006, soit après la prise de position de l'ODM du 26 juin 2006, V._______ a déclaré ignorer la raison de cette volte-face (cf. procès verbal de l'audition du 11 décembre 2006 p. 7). Enfin, elle n'a pas fait usage de la possibilité qui lui a été donnée de compléter ses déclarations à l'issue de son audition, se contentant d'y annexer un texte rédigé dans le cadre de sa formation. Au contraire, dans sa lettre du 28 mars 2007, V._______ a fait valoir qu'elle avait éprouvé une forte attirance pour un autre homme lors de son séjour en France au printemps 2005 et a allégué qu'elle avait considéré le soutien financier apporté par le recourant à sa famille au Kosovo comme une évidence. Par ailleurs, elle a soutenu que son traitement thérapeutique n'avait pas été causé par des problèmes relationnels avec son époux et que l'instabilité de son mariage était due à des problèmes communs à tous les couples. Finalement elle a précisé que X._______ l'avait avertie, le jour même de l'audience du 29 août 2006, du fait qu'il ne voulait plus divorcer. Il sied de relever que la missive précitée est postérieure au courrier de l'ODM du 15 mars 2007, par lequel ce dernier a informé X._______ qu'en l'état du dossier et compte tenu des mesures d'instruction entreprises jusqu'alors (à savoir notamment l'audition du 11 décembre 2006), il lui semblait pouvoir présumer qu'au moment de la naturalisation, les époux XV._______ ne formaient pas une véritable communauté conjugale. Ainsi, le revirement effectué par V._______ entre ses déclarations du 11 décembre 2006 et sa lettre du 28 mars 2007 peut s'expliquer par la volonté affichée par l'intéressée tout au long de la procédure de ne pas porter préjudice à X._______. Il n'en demeure pas moins qu'au vu des contradictions et divergences relevées ci-dessus, ses écritures du 28 mars 2007 ne peuvent être considérées comme décisives.</w:t>
      </w:r>
    </w:p>
    <w:p>
      <w:r>
        <w:rPr>
          <w:b/>
        </w:rPr>
        <w:t>E. 7.4</w:t>
      </w:r>
    </w:p>
    <w:p>
      <w:r>
        <w:t>Par ailleurs, le TAF souligne qu'entre la séparation et le dépôt de la requête commune en divorce, aucune procédure de médiation ou de mesures protectrices de l'union conjugale n'a été tentée, puisqu'à en croire V._______, il lui était subitement devenu impossible, au cours du mois d'avril 2005, de vivre avec X._______. Plus particulièrement, il est troublant qu'une union prétendument tournée vers l'avenir en octobre et novembre 2004 apparaisse comme vidée de sens six mois plus tard, cela en raison de la seule évolution personnelle de l'un des conjoints. Bien plus, il apparaît douteux qu'un bref suivi thérapeutique à l'étranger ait pu suffire, à lui seul, à mettre à mal l'attachement de l'intéressée envers son époux, auquel elle était alors unie depuis près de six ans. Il peut, au contraire, en être déduit que les problèmes conjugaux allégués n'étaient pas anodins et que l'instabilité du couple était déjà latente au moment de la signature de la déclaration de communauté conjugale stable du 19 octobre 2004. De plus, c'est avec circonspection qu'il faut considérer l'argument selon lequel V._______ aurait ressenti une attirance particulière envers une personne rencontrée en France en 2005, dès lors que l'intéressée a dans un premier temps déclaré avoir inventé cet événement pour faciliter la séparation, avant de revenir sur cette affirmation le 28 mars 2007. Il ressort des circonstances exposées ci-dessus que l'autorité intimée pouvait donc légitiment présumer que la déclaration de vie conjugale stable et durable contresignée par les époux XV._______ le 19 octobre 2004 ne reflétait pas la réalité du moment et était fallacieuse.</w:t>
      </w:r>
    </w:p>
    <w:p>
      <w:r>
        <w:rPr>
          <w:b/>
        </w:rPr>
        <w:t>E. 7.5</w:t>
      </w:r>
    </w:p>
    <w:p>
      <w:r>
        <w:t>D'ailleurs, plusieurs autres indices laissent à penser que la naturalisation facilitée a été obtenue frauduleusement.</w:t>
      </w:r>
    </w:p>
    <w:p>
      <w:r>
        <w:rPr>
          <w:b/>
        </w:rPr>
        <w:t>E. 7.5.1</w:t>
      </w:r>
    </w:p>
    <w:p>
      <w:r>
        <w:t>En premier lieu, il appert que le recourant et son ex-épouse se sont mariés le 7 août 1999, alors que le premier avait vu sa demande d'asile rejetée, son renvoi de Suisse prononcé et qu'il se trouvait en territoire helvétique au bénéfice d'une admission provisoire, cette dernière ayant au demeurant été levée le 16 août 1999. Aussi la situation de X._______ - du point de vue de son séjour en territoire helvétique - à l'époque de ce mariage était-elle pour le moins précaire. D'après les déclarations de V._______, cet état de fait aurait précipité son union avec le prénommé (cf. procès-verbal de l'audition du 11 décembre 2006 p. 2). Elle a certes précisé qu'elle l'aurait tout de même épousé s'il n'avait pas été dans cette situation précaire (cf. ibidem p. 8). Donc, en soi, l'influence exercée par de telles circonstances sur la décision des conjoints de se marier ne saurait préjuger de leur volonté de fonder ou non une communauté conjugale effective et ne saurait constituer un indice de mariage fictif. Toutefois, attendu qu'en l'espèce cette circonstance est accompagnée d'autres éléments troublants, un tel indice peut être retenu (cf. arrêt du Tribunal fédéral 5A.11/2006 du 27 juin 2006 consid. 3.1 et 3.2).</w:t>
      </w:r>
    </w:p>
    <w:p>
      <w:r>
        <w:rPr>
          <w:b/>
        </w:rPr>
        <w:t>E. 7.5.2</w:t>
      </w:r>
    </w:p>
    <w:p>
      <w:r>
        <w:t>X._______ s'est en effet marié avec une femme de près de quinze ans son aînée rencontrée trois mois plus tôt, de surcroît divorcée et mère de deux enfants d'un premier lit, situation tout à fait inhabituelle dans le milieu socioculturel de l'intéressé (cf. notamment arrêt du Tribunal administratif fédéral C-1200/2006 du 26 janvier 2009 consid. 7.4 et jurisprudence citée). Il paraît ainsi peu crédible, ne serait-ce que sous l'angle culturel, que la communauté matrimoniale fût stable, effective et tournée vers l'avenir au moment de la déclaration écrite du 19 octobre 2004, nonobstant les affirmations contraires du recourant et de son ex-épouse (cf. notamment procès-verbal de l'audience du 11 décembre 2006 p. 4, lettre du 28 mars 2007 et mémoire de recours du 27 août 2007 p. 4).</w:t>
      </w:r>
    </w:p>
    <w:p>
      <w:r>
        <w:rPr>
          <w:b/>
        </w:rPr>
        <w:t>E. 7.5.3</w:t>
      </w:r>
    </w:p>
    <w:p>
      <w:r>
        <w:t>Par ailleurs, lors de son audition du 11 décembre 2006, V._______ a précisé que X._______ s'était rendu à plusieurs reprises au Kosovo au cours de leur mariage, alors qu'elle-même ne l'y avait accompagné que deux fois en six ans (cf. procès-verbal de l'audition du 11 décembre 2006 p. 4). En outre, le fait que les conjoints aient donné l'apparence d'un couple uni - ce qui est corroboré par les six témoignages, les photographies et les deux cartes de voeux [datant respectivement de 2002 et 2003] produits dans le cadre de la procédure de naturalisation (cf. let. B et J supra) - ne suffit pas, en soi, à renverser la présomption de fait relative à l'obtention frauduleuse de la naturalisation. Ces éléments, relativement anciens, ne font, en effet, qu'attester l'intégration du recourant en Suisse et les bons rapports qu'il entretenait avec son ex-épouse, rapports qui auraient très bien pu se dérouler dans le cadre d'une relation amicale entre deux adultes aux centres d'intérêts communs, plutôt qu'au sein d'une véritable communauté conjugale. Ils ne démontrent en revanche pas qu'en date du 19 octobre 2004, le couple susmentionné vivait en communauté conjugale stable, effective et tournée vers l'avenir.</w:t>
      </w:r>
    </w:p>
    <w:p>
      <w:r>
        <w:rPr>
          <w:b/>
        </w:rPr>
        <w:t>E. 7.5.4</w:t>
      </w:r>
    </w:p>
    <w:p>
      <w:r>
        <w:t>Enfin, il importe peu que ce soit V._______ qui ait mis un terme à la vie commune et non l'intéressé lui-même, dès lors que ce dernier ne s'y est pas opposé et a déposé avec son épouse une requête commune tendant à la dissolution de l'union conjugale en mars 2006 (cf. dans ce sens arrêt du Tribunal fédéral 5A.24/2004 du 2 décembre 2004 consid. 4.2). A cet égard, il est révélateur que X._______ ait consenti au divorce en mars 2006 mais s'y soit opposé lors de l'audience du 29 août 2006, soit après avoir eu connaissance du fait que l'ODM entendait éventuellement annuler sa naturalisation. A cette occasion, il a d'ailleurs déclaré "En m'opposant au divorce, mon but n'est pas de maintenir à tout prix ma naturalisation", ce qui démontre, si besoin était, combien le risque de perdre sa naturalisation était présent dans son esprit. Apprécié sous cet angle, le préambule de la convention de divorce passée le 29 août 2006, précisant que le recourant consentait au divorce contre sa volonté, est d'autant plus significatif.</w:t>
      </w:r>
    </w:p>
    <w:p>
      <w:r>
        <w:rPr>
          <w:b/>
        </w:rPr>
        <w:t>E. 7.5.5</w:t>
      </w:r>
    </w:p>
    <w:p>
      <w:r>
        <w:t>Au vu de ce qui précède et des pièces versées au dossier, le TAF considère que le recourant n'a pas apporté d'éléments propres à renverser la présomption de fait selon laquelle la naturalisation a été obtenue frauduleusement. Il n'a en particulier pas rendu vraisemblable la survenance d'un événement extraordinaire susceptible d'expliquer une détérioration rapide du lien conjugal, au sens indiqué plus haut (cf. consid. 5.2.2 supra).</w:t>
      </w:r>
    </w:p>
    <w:p>
      <w:r>
        <w:rPr>
          <w:b/>
        </w:rPr>
        <w:t>E. 8</w:t>
      </w:r>
    </w:p>
    <w:p>
      <w:r>
        <w:t>En conclusion, à défaut d'éléments convaincants apportés par le recourant, le Tribunal est d'avis qu'il y a lieu de s'en tenir à la présomption de fait, fondée essentiellement sur l'enchaînement rapide des événements, que la naturalisation facilitée a été obtenue de façon frauduleuse (cf. ATF 130 II 482), dès lors qu'à tout le moins l'intention de l'intéressé de former une communauté conjugale effective et durable n'existait plus au moment de la signature de la déclaration commune et de l'octroi de la nationalité suisse. Partant, l'ODM était fondé à considérer que la naturalisation facilitée conférée au prénommé le 11 novembre 2004 avait été obtenue sur la base de déclarations mensongères, voire d'une dissimulation de faits essentiels, et donc à prononcer, avec l'assentiment du canton d'origine, l'annulation de cette naturalisation en application de l'art. 41 LN. Il ressort de ce qui précède que, par sa décision du 26 juin 2007, l'ODM n'a ni violé le droit fédéral ni constaté des faits pertinents de manière inexacte ou incomplète ; en outre, cette décision n'est pas inopportune (cf. art. 49 PA). En conséquence, le recours est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