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C-5717/2013 vom 11. August 2014</w:t>
      </w:r>
    </w:p>
    <w:p>
      <w:r>
        <w:t>Bundesverwaltungsgericht, 2014-08-11, FR</w:t>
      </w:r>
    </w:p>
    <w:p>
      <w:r>
        <w:rPr>
          <w:b/>
        </w:rPr>
        <w:t xml:space="preserve">Quelle: </w:t>
      </w:r>
      <w:r>
        <w:t>https://mcp.opencaselaw.ch/entscheid/bvger_C-5717_2013</w:t>
      </w:r>
    </w:p>
    <w:p>
      <w:r>
        <w:t>FR: TAF C-5717/2013 du 11 août 2014</w:t>
      </w:r>
    </w:p>
    <w:p>
      <w:r>
        <w:t>IT: TAF C-5717/2013 del 11 agosto 2014</w:t>
      </w:r>
    </w:p>
    <w:p>
      <w:pPr>
        <w:pStyle w:val="Heading2"/>
      </w:pPr>
      <w:r>
        <w:t>Regeste</w:t>
      </w:r>
    </w:p>
    <w:p>
      <w:r>
        <w:t>Décision préalable des autorités du marché du travail</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d'approbation d'une décision préalable cantonale relative à l'autorisation d'exercer une activité lucrative prononcées par l'ODM - lequel constitue une unité de l'administration fédérale telle que définie à l'art 33 let. d LTAF - sont susceptibles de recours au Tribunal, qui statue définitivement (art. 1 al. 2 LTAF en relation avec l'art. 83 let. c ch. 2 LTF).</w:t>
      </w:r>
    </w:p>
    <w:p>
      <w:r>
        <w:rPr>
          <w:b/>
        </w:rPr>
        <w:t>E. 1.2</w:t>
      </w:r>
    </w:p>
    <w:p>
      <w:r>
        <w:t>A moins que la LTAF n'en dispose autrement, la procédure devant le Tribunal est régie par la PA (art. 37 LTAF).</w:t>
      </w:r>
    </w:p>
    <w:p>
      <w:r>
        <w:rPr>
          <w:b/>
        </w:rPr>
        <w:t>E. 1.3</w:t>
      </w:r>
    </w:p>
    <w:p>
      <w:r>
        <w:t>A._______ a qualité pour recourir (art. 48 al. 1 PA). Le recours, présenté dans la forme et les délais prescrits par la loi, est recevable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(sur la substitution de motifs, cf. Alfred Kölz / Isabelle Häner / Martin Bertschi, Verwaltungsverfahren und Verwaltungsrechtspflege des Bundes, 3ème édition, Zurich / Bâle / Genève 2013, n° 1136). Dans son arrêt, elle prend en considération l'état de fait régnant au moment où elle statue (ATAF 2013/33 consid. 2, 2012/21 consid. 5.1, ATAF 2011/1 consid. 2).</w:t>
      </w:r>
    </w:p>
    <w:p>
      <w:r>
        <w:rPr>
          <w:b/>
        </w:rPr>
        <w:t>E. 3</w:t>
      </w:r>
    </w:p>
    <w:p>
      <w:r>
        <w:t>En l'espèce, la recourante s'est plainte d'une violation du droit d'être entendu au motif que la décision de l'ODM était insuffisamment motivée et a soutenu en outre que l'autorité intimée avait fait preuve d'arbitraire dans l'appréciation des preuves en s'abstenant de procéder à des mesures d'instruction complémentaires sur les preuves qu'elle avait offertes pour établir les qualifications professionnelles de B._______.</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C'est le droit pour le justiciable d'exposer ses arguments de droit, de fait ou d'opportunité, de répondre aux objections de l'autorité et de se déterminer sur les autres éléments du dossier. Quant au devoir de motiver une décision, il vise à permettre au justiciable de la comprendre, la contester utilement s'il y a lieu et d'exercer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138 IV 81 consid. 2.2, ATF 138 I 232 consid. 5.1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du Tribunal fédéral 1C_587/2013 du 29 août 2013 consid. 2.1 et les arrêts cités). En revanche, une autorité se rend coupable d'une violation du droit d'être entendu si elle omet de se prononcer sur des griefs qui présentent une certaine pertinence ou de prendre en considération des allégués et arguments importants pour la décision à rendre (ATF 133 III 235 consid. 5.2 et ATF 126 I 97 consid. 2b).</w:t>
      </w:r>
    </w:p>
    <w:p>
      <w:r>
        <w:rPr>
          <w:b/>
        </w:rPr>
        <w:t>E. 3.2</w:t>
      </w:r>
    </w:p>
    <w:p>
      <w:r>
        <w:t>Le droit d'être entendu est de nature formelle. Sa violation entraîne en principe l'annulation de la décision attaquée, indépendamment des chances de succès du recours sur le plan matériel (ATF 137 I 195 consid. 2.2). 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ATF 136 V 117 consid. 4.2.2.2, ATF 133 I 201 consid. 2.2). Si le principe de l'économie de procédure peut justifier que l'autorité de recours s'abstienne de retourner le dossier à l'autorité de première instance pour la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Patrick Sutter, in : Auer / Müller / Schindler, Kommentar zum Bundesgesetz über das Verwaltungsverfahren [VwVG], Zurich / Saint-Gall 2008, ch. 18 ad art. 29 PA ; cf. également André Moser / Michael Beusch / Lorenz Kneubühler, Prozessieren vor dem Bundesverwaltungsgericht, 2ème éd., Lausanne / Zurich / Berne 2013, p. 193s., ch. 3.112, et les références citées).</w:t>
      </w:r>
    </w:p>
    <w:p>
      <w:r>
        <w:rPr>
          <w:b/>
        </w:rPr>
        <w:t>E. 3.3</w:t>
      </w:r>
    </w:p>
    <w:p>
      <w:r>
        <w:t>Le droit d'être entendu ne s'oppose pas à ce que l'autorité mette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138 III 374 consid. 4.3.2; 136 I 229 consid. 5.3). Lorsque, comme en l'espèce, la recourante invoque une violation de ce principe dans le fait que l'ODM a failli à son devoir d'examiner les faits et de traiter les problèmes pertinents, le grief du droit d'être entendu se confond avec celui de l'arbitraire dans l'appréciation des preuves (cf. arrêt du Tribunal fédéral 2C_243/2010 consid. 3.1 et jurisprudence citée).</w:t>
      </w:r>
    </w:p>
    <w:p>
      <w:r>
        <w:rPr>
          <w:b/>
        </w:rPr>
        <w:t>E. 4.1</w:t>
      </w:r>
    </w:p>
    <w:p>
      <w:r>
        <w:t>Dans sa décision du 11 septembre 2013, l'ODM a refusé de donner son approbation à la décision du Service de l'emploi relative à l'exercice d'une activité lucrative, au motif que l'authenticité du certificat de travail relatif à l'engagement de B._______ au sein du restaurant de l'Hôtel E._______ à F._______ lui paraissait douteuse et que les qualifications personnelles requises par l'art. 23 LEtr en vue de son engagement en Suisse comme cuisinier spécialisé n'étaient ainsi pas démontrées. L'autorité inférieure a fondé son argumentation sur les informations que la représentation suisse à Pékin avaient obtenues, par téléphone, auprès d'un autre hôtel de F._______, informations selon lesquelles l'Hôtel E._______ était fermé depuis environ cinq ans. L'ODM en a conclu que le certificat de travail daté du 15 octobre 2012, signé par un dénommé H._______ (Manager général) et portant le timbre de l'Hôtel E._______ était, soit un document falsifié, soit un document de complaisance.</w:t>
      </w:r>
    </w:p>
    <w:p>
      <w:r>
        <w:rPr>
          <w:b/>
        </w:rPr>
        <w:t>E. 4.2</w:t>
      </w:r>
    </w:p>
    <w:p>
      <w:r>
        <w:t>Dans ses observations du 4 septembre 2013 à l'ODM, la recourante avait pourtant affirmé que B._______ avait bien travaillé au restaurant de l'Hôtel E._______ jusqu'au 31 juillet 2009 et versé au dossier des déclarations écrites de trois anciens collègues de travail de B._______, dans lesquelles ceux-ci confirmaient avoir travaillé avec le prénommé au sein de cet établissement durant les années 2001-2009, respectivement 2003-2009 et 2005-2009. La recourante avait par ailleurs exposé que l'Hôtel E._______ avait effectivement fermé le 31 juillet 2009, mais que le patron du restaurant, H._______, disposait d'une licence d'exploitation pour la période du 20 octobre 2008 au 20 octobre 2012, que cet établissement avait ensuite été exploité sous un autre nom à partir de 2010, mais que le certificat de travail établi le 15 octobre 2012 gardait toute sa force probante.</w:t>
      </w:r>
    </w:p>
    <w:p>
      <w:r>
        <w:rPr>
          <w:b/>
        </w:rPr>
        <w:t>E. 4.3</w:t>
      </w:r>
    </w:p>
    <w:p>
      <w:r>
        <w:t>Le Tribunal considère à cet égard, compte tenu des explications fournies et des pièces produites par la recourante le 4 septembre 2013, dont la crédibilité ne pouvait alors pas être d'emblée écartée, qu'il appartenait à l'ODM d'entreprendre des mesures d'investigations supplémentaires par l'entremise de la représentation suisse à Pékin, afin d'obtenir confirmation des explications fournies, respectivement de l'expérience professionnelle que B._______ avait, semble-t-il, acquise en Chine durant son engagement de 2001 à 2009 au sein de l'établissement précité. Ce complément d'instruction s'imposait d'autant plus que l'autorité intimée a dénié toute valeur probante aux documents produits pour établir l'expérience professionnelle de B._______ sur la seule base du renseignement téléphonique obtenu le 13 août 2013 par une employée de la représentation suisse à Pékin auprès d'un hôtel de F._______, selon lesquelles "l'Hôtel E._______ était fermé depuis environ cinq ans", information qui n'était au demeurant pas clairement en contradiction avec les explications de la recourante, selon laquelle l'établissement avait fermé le 31 juillet 2009.</w:t>
      </w:r>
    </w:p>
    <w:p>
      <w:r>
        <w:rPr>
          <w:b/>
        </w:rPr>
        <w:t>E. 4.4</w:t>
      </w:r>
    </w:p>
    <w:p>
      <w:r>
        <w:t>Le Tribunal est dès lors amené à considérer qu'en renonçant à entreprendre des mesures d'instruction complémentaires sur la base des explications fournies et des pièces produites par la recourante pour établir les qualifications et l'expérience professionnelle acquises en Chine par B._______, l'ODM s'est rendue coupable d'une constatation incomplète des faits pertinents au sens de l'art. 49 let. b PA.</w:t>
      </w:r>
    </w:p>
    <w:p>
      <w:r>
        <w:rPr>
          <w:b/>
        </w:rPr>
        <w:t>E. 4.5</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En d'autres termes, la réforme implique que la décision de première instance soit fondée sur un état de fait et un raisonnement juridique corrects de la part de l'autorité de première instance. Par contre, la réforme est inadmissible lorsque des questions pertinentes doivent être tranchées pour la première fois. A cet égard, il importe de rappeler qu'en procédure de recours, le rôle du Tribu­nal, qui est, à l'instar des autorités administratives, soumis également à la maxime inquisitoire (art. 12 et 13 PA en relation avec l'art. 37 LTAF), consiste en une obligation de revoir l'établissement des faits plutôt qu'en une obligation d'établir ces derniers. Cette obligation incombe en effet, de manière primaire, aux parties, soit à l'autorité qui a pris sa décision et à l'administré, en vertu de son devoir de collaboration (cf. notammentATAF 2011/54 consid. 5.1 et 2009/57 consid. 1.2, ainsi que l'arrêt du Tri­bunal de céans E-5688/2012 consid. 2.2). En outre, un renvoi de l'affaire à l'autorité inférieure se justifie notamment pour éviter que l'autorité de re­cours n'outrepasse ses compétences en examinant de son propre chef et en tranchant, en instance unique, des questions déterminantes n'ayant ja­mais été discutées auparavant, privant ainsi les parties recourantes d'une voie de recours (cf. notamment ATAF 2011/42 consid. 8 et 2010/46 consid. 4; voir également Pierre Moor / Etienne Poltier, Droit administratif, no 5.8.4.3, pp. 826 à 828; Philippe Weissenberger, in : Waldman / Weissenberger, Praxis­kommentar zum Bundesgesetz über das Verwaltungsverfahren, Zurich/Bâle/Genève 2009, ad art. 61 PA, pp. 1210 et 1211, ch. 16 et 17; Madeleine Camprubi, in : Auer / Müller / Schindler, loc. cit., no 11, p. 773).</w:t>
      </w:r>
    </w:p>
    <w:p>
      <w:r>
        <w:rPr>
          <w:b/>
        </w:rPr>
        <w:t>E. 5.1</w:t>
      </w:r>
    </w:p>
    <w:p>
      <w:r>
        <w:t>Le recours est en conséquence admis, la décision querellée annulée et la cause renvoyée à l'autorité inférieure pour instruction com­plé­mentaire et nouvelle décision dans le sens des considérants (cf. consid. 4.1 à 4.5 supra).</w:t>
      </w:r>
    </w:p>
    <w:p>
      <w:r>
        <w:rPr>
          <w:b/>
        </w:rPr>
        <w:t>E. 5.2</w:t>
      </w:r>
    </w:p>
    <w:p>
      <w:r>
        <w:t>Obtenant gain de cause, la recourante n'a pas à supporter de frais de procédure (cf. art. 63 al. 1 phr. 1 a contrario PA), pas plus que l'autorité qui succombe (cf. art. 63 al. 2 PA).</w:t>
      </w:r>
    </w:p>
    <w:p>
      <w:r>
        <w:rPr>
          <w:b/>
        </w:rPr>
        <w:t>E. 5.3</w:t>
      </w:r>
    </w:p>
    <w:p>
      <w:r>
        <w:t>Il convient par ailleurs d'allouer à la recourante une indemnité équitable à titre de dépens pour les frais "indispensables" et relativement élevés occasionnés par la procédure de recours (cf. art. 64 al. 1 PA). Conformément à l'art. 14 du règlement du 21 février 2008 concernant les frais, dépens et indemnités fixés par le Tribunal administratif fédéral (FITAF, RS 173.320.2), le Tribunal, à défaut de note de frais, fixe cette indemnité sur la base du dossier (cf. arrêt du TF 2C_422/2011 du 9 jan­vier 2012 consid. 2). Au regard de l'ensemble des circons­tan­ces, notam­ment de l'im­portance et du degré de complexité de la cause et du tarif applicable in casu, l'indemnité à titre de dépens est fixée ex aequo et bono à un montant global de 1'500 francs, débours et TVA compris (cf. art. 8 à 11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