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C-5707/2016 vom 28. August 2018</w:t>
      </w:r>
    </w:p>
    <w:p>
      <w:r>
        <w:t>Bundesverwaltungsgericht, 2018-08-28, FR</w:t>
      </w:r>
    </w:p>
    <w:p>
      <w:r>
        <w:rPr>
          <w:b/>
        </w:rPr>
        <w:t xml:space="preserve">Quelle: </w:t>
      </w:r>
      <w:r>
        <w:t>https://mcp.opencaselaw.ch/entscheid/bvger_C-5707_2016</w:t>
      </w:r>
    </w:p>
    <w:p>
      <w:r>
        <w:t>FR: TAF C-5707/2016 du 28 août 2018</w:t>
      </w:r>
    </w:p>
    <w:p>
      <w:r>
        <w:t>IT: TAF C-5707/2016 del 28 agosto 2018</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versée,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121 V 362 consid. 1b, ATF 117 V 293 consid. 4).</w:t>
      </w:r>
    </w:p>
    <w:p>
      <w:r>
        <w:rPr>
          <w:b/>
        </w:rPr>
        <w:t>E. 3</w:t>
      </w:r>
    </w:p>
    <w:p>
      <w:r>
        <w:t>Le recourant est ressortissant français domicilié en France.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 Etat membre » au sens des règlements de coordination (cf. l'art. 1er al. 2 de l'annexe II de l'ALCP). Dans ce cadre conventionnel l'art. 80a LAI rend notamment applicable depuis le 1er avril 2012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(avec annexes) (RS 0.831.109. 268.11). Dans la mesure où l'ALCP, en particulier son annexe II qui régit la coordination des systèmes d'assurances sociales (art. 8 ALCP) ne prévoit pas de disposition contraire, la procédure ainsi que les conditions à l'octroi d'une rente d'invalidité suisse sont déterminées exclusivement d'après le droit suisse (ATF 130 V 257 consid. 2.4).</w:t>
      </w:r>
    </w:p>
    <w:p>
      <w:r>
        <w:rPr>
          <w:b/>
        </w:rPr>
        <w:t>E. 4</w:t>
      </w:r>
    </w:p>
    <w:p>
      <w:r>
        <w:t>L'objet du litige est le bien-fondé de la suppression du quart de rente par décision du 1er septembre 2016 au motif d'une amélioration de l'état de santé selon les actes au dossier vu qu'une expertise psychiatrique en Suisse n'a pu être effectuée du fait que l'intéressé a fait valoir l'impossibilité pour lui de se déplacer.</w:t>
      </w:r>
    </w:p>
    <w:p>
      <w:r>
        <w:rPr>
          <w:b/>
        </w:rPr>
        <w:t>E. 5.1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S'agissant des données médicales propres à l'évaluation de l'invalidité (art. 16 LPGA et art. 28 ss LAI), l'office AI peut s'appuyer - à côté du Service médical régional (SMR ; art. 59 al. 2 et 2bis LAI), des rapports des médecins traitants (art. 28 al. 3 LPGA), des rapports d'experts externes (art. 59 al. 3 LAI) - sur les centres d'observation médicale et professionnelle (COMAI, COPAI ; art. 59 al. 3 LAI ; ATF 136 V 376 consid. 4.1.1 ; voir ég. Michel Valterio, Droit de l'assurance-vieillesse et survivants [AVS] et de l'assurance-invalidité [AI], 2011, n° 2595 ss).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5.2</w:t>
      </w:r>
    </w:p>
    <w:p>
      <w:r>
        <w:t>L'art. 28 al. 1 LPGA établit dans un principe général que les assurés et leurs employeurs doivent collaborer gratuitement à l'exécution des différentes lois sur les assurances sociales. Celui qui fait valoir son droit à des prestations doit fournir gratuitement tous les renseignements nécessaires pour établir ce droit et fixer les prestations dues (art. 28 al. 2 LPGA) et ainsi se soumettre à des examens médicaux ou techniques si ceux-ci sont nécessaires à l'appréciation du cas et qu'ils peuvent être raisonnablement exigés (art. 43 al. 2 LPGA).</w:t>
      </w:r>
    </w:p>
    <w:p>
      <w:r>
        <w:rPr>
          <w:b/>
        </w:rPr>
        <w:t>E. 5.2.1</w:t>
      </w:r>
    </w:p>
    <w:p>
      <w:r>
        <w:t>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L'art. 7b LAI dispose que les prestations peuvent être réduites ou refusées conformément à l'art. 21 al. 4 LPGA (réduction / refus temporaire / définitif de prestations) si l'assuré a manqué aux obligations prévues à l'art. 43 al. 2 LPGA.</w:t>
      </w:r>
    </w:p>
    <w:p>
      <w:r>
        <w:rPr>
          <w:b/>
        </w:rPr>
        <w:t>E. 5.2.2</w:t>
      </w:r>
    </w:p>
    <w:p>
      <w:r>
        <w:t>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(arrêts du TF 9C_372/2015 du 19 février 2016 consid. 4.1.2 et 9C_961/2008 du 30 novembre 2009 consid. 6.3.3 et les références).</w:t>
      </w:r>
    </w:p>
    <w:p>
      <w:r>
        <w:rPr>
          <w:b/>
        </w:rPr>
        <w:t>E. 5.2.3</w:t>
      </w:r>
    </w:p>
    <w:p>
      <w:r>
        <w:t>En cas de refus de coopérer pendant la période de versement des prestations, l'assureur peut suspendre les prestations par mesure de précaution. Toutefois, cette mesure présuppose que les informations demandées en vain soient nécessaires à la clarification des faits ou à la détermination des prestations, ne peuvent être obtenues sans effort excessif et que les informations refusées en violation fautive de l'obligation de coopérer soient pertinentes pour la détermination du degré d'invalidité de l'assuré (cf. arrêt du TF 9C_345/2007 du 26 mars 2008 consid. 4 et la réf. ; Thomas Flückiger, Verwaltungsverfahren, in: Recht der Sozialen Sicherheit, Vol. XI, 2014, p. 122, cm 4.102).</w:t>
      </w:r>
    </w:p>
    <w:p>
      <w:r>
        <w:rPr>
          <w:b/>
        </w:rPr>
        <w:t>E. 5.2.4</w:t>
      </w:r>
    </w:p>
    <w:p>
      <w:r>
        <w:t>Selon la loi, la suspension de la rente ne doit pas être comprise comme une sanction (au sens d'une pénalité) mais comme un moyen de pression pour obliger la personne assurée - en connaissance des conséquences négatives - à fournir les documents nécessaires à la procédure de révision (arrêt du TAF C-4900/2017 du 6 avril 2018 consid. 4.5.4). Toutefois, le principe de proportionnalité doit être pris en compte dans le prononcé de la mesure.</w:t>
      </w:r>
    </w:p>
    <w:p>
      <w:r>
        <w:rPr>
          <w:b/>
        </w:rPr>
        <w:t>E. 6</w:t>
      </w:r>
    </w:p>
    <w:p>
      <w:r>
        <w:t>Est à examiner en l'espèce, dans le cadre d'une procédure de révision du droit à la rente selon l'art. 17 LPGA, si l'OAIE pouvait sans autre mesure procédurale exécuter la conséquence annoncée d'une décision prise sur la base des pièces au dossier selon l'art. 43 al. 3 LPGA, soit en l'occurrence la suppression de la rente, alors qu'en tous les cas un rapport psychiatrique ayant valeur probante faisait défaut, du constat-même du SMR. Ceci alors qu'était litigieuse devant l'autorité inférieure la question controversée de l'exigibilité du déplacement de l'intéressé depuis son domicile à (...), soit un déplacement aller simple de quelque deux heures (trajet et déplacements liés) ou quelque quatre heures aller et retour, proposé par l'OAIE dans un véhicule en tant que passager sur un siège inclinable avec un accompagnant dont les frais de ce dernier étaient pris en charge par l'OAIE. En particulier est à examiner si l'OAIE, face à la difficulté de mettre en oeuvre une expertise en Suisse en raison d'une contestation quant à l'exigibilité d'un déplacement allégué impossible au moyen de documents médicaux, ne se devait pas préalablement de rendre à ce sujet une décision incidente sujette à recours. La présente situation, où se confrontent des positions divergentes, est en effet différente de celle où un assuré, malgré une sommation en bonne et due forme ayant clairement énoncé les conséquences juridiques d'un refus, n'accepte pas de se présenter devant un expert sans produire de certificat médicaux demandant une appréciation de ceux-ci car dans ce cas l'assuré objectivement purement et simplement ne remplit pas son devoir de collaboration et l'assureur peut se prononcer en l'état du dossier ou clore l'instruction et décider de ne pas entrer en matière (art. 43 al. 3 LPGA ; cf. l'arrêt du Tribunal de céans C-3524/2013 du 25 juillet 2014 consid. 7).</w:t>
      </w:r>
    </w:p>
    <w:p>
      <w:r>
        <w:rPr>
          <w:b/>
        </w:rPr>
        <w:t>E. 7.1</w:t>
      </w:r>
    </w:p>
    <w:p>
      <w:r>
        <w:t>En vertu de la jurisprudence du Tribunal fédéral, il est admis que les administrés peuvent attaquer devant le tribunal une décision incidente portant sur une expertise médicale. En effet, le Tribunal fédéral a considéré qu'une expertise qui ne satisfaisait pas au droit créait en règle générale non seulement un préjudice de fait mais également un préjudice légal qui était irréparable, remplissant ainsi la condition nécessaire afin de pouvoir contester une décision incidente au sens de l'art. 5 al. 2 PA, attaquable par le biais d'un recours aux conditions fixées par l'art. 46 al. 1 PA (ATF 137 V 210 consid. 3.4.2.7 confirmés par ATF 139 V 339 consid. 4.4 et 138 V 271 consid. 1.2.3). Cette voie de droit permet donc à l'intéressé de soulever, avant même que l'administration se prononce sur le fond, des contestations d'ordre matériel, que ce soit contre l'expertise elle-même (en mettant en cause, par exemple, la nécessité d'une second opinion), contre le type ou l'étendue de l'expertise (en questionnant notamment le choix des disciplines médicales intervenant lors de l'expertise), ou contre les experts désignés (en émettant par exemple des doutes quant à leurs compétences à raison de la matière), ainsi que l'a précisé le Tribunal fédéral (ATF 138 V 271 consid. 1.1 ; voir aussi l'arrêt de ce tribunal C-535/2012 consid. 1.3). Ainsi, dans le cadre de la mise en place d'une expertise (mono et bidisciplinaire), il convient notamment que l'administration trouve un accord avec l'assuré quant aux experts à mandater. En parallèle, l'Office AI qui instruit le dossier est appelé à soumettre les questions aux experts à l'intéressé en lui donnant la possibilité de se prononcer en la matière. A défaut d'entente sur les spécialistes à retenir ou les modalités de l'expertise, l'autorité doit alors rendre une décision incidente sujette à recours auprès de la première instance judiciaire (ATF 137 V 210 consid. 3.4.2.5 ss, ATF 138 V 271 consid. 3, ATF 139 V 349 consid. 3 ss).</w:t>
      </w:r>
    </w:p>
    <w:p>
      <w:r>
        <w:rPr>
          <w:b/>
        </w:rPr>
        <w:t>E. 7.2</w:t>
      </w:r>
    </w:p>
    <w:p>
      <w:r>
        <w:t>En l'occurrence, étant donné que les actes médicaux au dossier ne permettaient manifestement pas de rendre une décision de révision, une décision incidente aurait dû être rendue à l'encontre de l'intéressé, afin que ce dernier, cas échéant, puisse recourir auprès de la présente instance en faisant valoir ses griefs contre la tenue d'une expertise médicale en Suisse, dans la mesure où aucune entente portant sur les modalités de l'expertise n'avait pu être trouvée entre celui-ci et l'Office (ATF 139 V 339 consid. 4.6; arrêt du Tribunal administratif fédéral C-3077/2012 du 28 septembre 2012 consid. 3.3). Dès lors, l'OAIE aurait dû, en lieu et place de la mise en demeure du 21 mars 2016 suivie de celle du 13 juin 2016 (cf. supra D.e, D.f) vu que le désaccord quant au lieu et au type d'expertise persistait, rendre dans un premier temps une décision incidente. L'Office, qui a conclu à une violation par l'intéressé de son obligation de collaborer, en considérant (sur la base d'un dossier médical controversé) qu'il était capable de se déplacer en Suisse, mais en omettant de trancher cette questions de nature procédurale par le biais d'une décision incidente, a dès lors privé le recourant d'une voie de recours lui permettant de faire valoir ses arguments (cf. ég. l'arrêt de ce tribunal C-6473/2014 du 6 avril 2017 consid. 3.2 in fine).</w:t>
      </w:r>
    </w:p>
    <w:p>
      <w:r>
        <w:rPr>
          <w:b/>
        </w:rPr>
        <w:t>E. 8</w:t>
      </w:r>
    </w:p>
    <w:p>
      <w:r>
        <w:t>Au regard de ce qui précède, le recours est admis et la cause renvoyée à l'autorité inférieure. Il se justifie en effet d'annuler l'acte entrepris et d'inviter l'OAIE à statuer, dans le cadre d'une décision incidente susceptible de recours devant le Tribunal de céans, sur l'obligation, pour l'intéressé, de se déplacer en Suisse ainsi que sur les disciplines médicales devant intervenir. Une expertise au moins bidisciplinaire, soit psychiatrique et, comme requis par la Dre I._______, rhumatologique, devra être ordonnée. Les expertises ordonnées doivent permettre de répondre à l'ensemble des questions qui se posent.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 Avant de rendre sa décision incidente l'OAIE invitera nouvellement les médecins traitant à se déterminer sur l'état de santé de l'intéressé et sur la question de savoir si l'intéressé peut se rendre en Suisse afin que les modalités de voyage soient clairement définies tant quant au mode que quant aux modalités financières (cf. les art. 45 al. 1 LPGA, 51 LAI, 78 al. 3, 90bis RAI). Ce n'est que lorsque la question de l'exigibilité du déplacement et les disciplines de l'expertise auront été définitivement tranchées par une décision incidente entrée en force que l'OAIE pourra mettre en oeuvre l'expertise avant de se prononcer sur la question du maintien ou non de la rente d'invalidité ou son augmentation ou procéder à nouveau à une mise en demeure indiquant la conséquence à un refus de se soumettre à une expertise en Suisse qualifiée d'exigible.</w:t>
      </w:r>
    </w:p>
    <w:p>
      <w:r>
        <w:rPr>
          <w:b/>
        </w:rPr>
        <w:t>E. 9.1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9.2</w:t>
      </w:r>
    </w:p>
    <w:p>
      <w:r>
        <w:t>Vu l'issue du recours il n'est pas perçu de frais de procédure (art. 63 al. 2 PA). L'avance de frais de 800.- francs fournie par le recourant en cours de procédure lui est restituée.</w:t>
      </w:r>
    </w:p>
    <w:p>
      <w:r>
        <w:rPr>
          <w:b/>
        </w:rPr>
        <w:t>E. 9.3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En l'espèce, le recourant ayant agi sans être représenté et n'ayant pas eu des frais particulièrement élevés, il ne se justifie pas de lui allouer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