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C-56/2011 vom 12. Oktober 2012</w:t>
      </w:r>
    </w:p>
    <w:p>
      <w:r>
        <w:t>Bundesverwaltungsgericht, 2012-10-12, DE</w:t>
      </w:r>
    </w:p>
    <w:p>
      <w:r>
        <w:rPr>
          <w:b/>
        </w:rPr>
        <w:t xml:space="preserve">Quelle: </w:t>
      </w:r>
      <w:r>
        <w:t>https://mcp.opencaselaw.ch/entscheid/bvger_C-56_2011</w:t>
      </w:r>
    </w:p>
    <w:p>
      <w:r>
        <w:t>FR: TAF C-56/2011 du 12 octobre 2012</w:t>
      </w:r>
    </w:p>
    <w:p>
      <w:r>
        <w:t>IT: TAF C-56/2011 del 12 ottobre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BVGer A-2682/2007 vom 7. Oktober 2010 E. 1.2 und 1.3). 3.3.1 In formeller Hinsicht wird gerügt, die angefochtene Verfügung sei lediglich mit der Widerhandlung gegen das Betäubungsmittelgesetz begründet worden. Deshalb könne die Vorinstanz im Nachhinein nicht argumentieren, das Einreiseverbot stütze sich auch auf andere Gesetzesverstösse. 3.2 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Sach-und Rechtslage ist (vgl. BVGE 2007/27 E. 5.5.2 und BGE 133 I 270 E. 3.1 S. 277 je mit Hinweisen, sowie FELIX UHLMANN/ALEXANDRA SCHWANK, in: Waldmann/Weissenberger [Hrsg.], Praxiskommentar VwVG, Zürich 2009, N 17 ff. zu Art. 35 ebenso LORENZ KNEUBÜHLER, in: Auer/Müller/Schindler [Hrsg.], Kommentar zum Bundesgesetz über das Verwaltungsverfahren [VwVG], Zürich/St. Gallen 2008, Rz. 4 ff. zu Art. 35 VwVG). 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 3.3 Die Begründung der angefochtenen Verfügung ist knapp ausgefallen und ziemlich summarisch gehalten. Die Vorinstanz verweist auf einen einzigen Grund (Widerhandlung gegen das Betäubungsmittelgesetz) derentwegen sie eine Fernhaltemassnahme von vier Jahren für angezeigt erachtet. Auch wenn andere hierzulande beanstandete Verhaltensweisen des Beschwerdeführers (illegale Einreise, Bezug von Sozialhilfe, Ausschaffung in sein Heimatland), die diesem hinlänglich bekannt sind, nicht im Einzelnen aufgeführt sind, so ist dennoch klar, dass auch diese bei der Verfügung der Fernhaltemassnahme miteinbezogen wurden. So wurde die illegalen Einreise des Beschwerdeführers in die Schweiz zeitgleich mit der Widerhandlung gegen das Betäubungsmittelgesetz abgeurteilt. Die Vorinstanz hat zwar einen Teil der Verfügungsbegründung nachgeschoben, doch der Beschwerdeführer hätte dazu Stellung nehmen können. Eine allfällige Verletzung des Anspruchs auf rechtliches Gehör ist somit als geheilt zu erachten (vgl. Bst. S).</w:t>
      </w:r>
    </w:p>
    <w:p>
      <w:r>
        <w:rPr>
          <w:b/>
        </w:rPr>
        <w:t>E. 4.1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5.1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(vgl. zum Ganzen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C-3304/2009 vom 18. Januar 2012 E. 5.1 mit Hinweis).</w:t>
      </w:r>
    </w:p>
    <w:p>
      <w:r>
        <w:rPr>
          <w:b/>
        </w:rPr>
        <w:t>E. 5.2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5.3</w:t>
      </w:r>
    </w:p>
    <w:p>
      <w:r>
        <w:t>Der Beschwerdeführer wurde mit Urteil und Beschluss des Bezirksgerichts Zürich vom 25. November 2010 wegen eines Vergehens gegen das Ausländergesetz (Art. 115 Abs. 1 lit. A und b AuG) und der mehrfachen Übertretung des Betäubungsmittelgesetzes mit einer Geldstrafe von 60 Tagessätzen zu Fr. 30.-- ohne Aufschub sowie mit einer Busse von Fr. 500.-- bestraft. Die Voraussetzungen für ein Einreiseverbot gemäss Art. 67 Abs. 1 Bst. a AuG in der Fassung vom 1. Januar 2008 bzw. Art. 67 Abs. 2 Bst. a AuG in der Fassung vom 1. Januar 2011 sind zweifelsohne erfüllt. 6.Hinzu kommt, dass der Beschwerdeführer in Ausschaffungshaft genommen und ausgeschafft werden musste, weshalb er auch diesbezüglich Gründe für die Verhängung einer Fernhaltemassnahme gesetzt hat (vgl. Art. 67 Abs. 1 Bst. c AuG in der Fassung vom 1. Januar 2008 bzw. Art. 67 Abs. 1 Bst. b AuG in der Fassung vom 1. Januar 2011 und Art. 67 Abs. 2 Bst. c AuG). Diese Ergänzung der vorinstanzlichen Begründung ist im Sinne einer Motivsubstitution durchaus möglich und zulässig (vgl. E. 3 sowie Urteil des Bundesverwaltungsgerichts C-1231/2007 vom 23. Juni 2008 E. 2). 7.Es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7.1 In casu besteht ohne Zweifel ein öffentliches Interesse an der Fernhaltung des Beschwerdeführers. Durch Missachtung von Vorschriften im Zusammenhang mit Einreise und Aufenthalt wird das ausländerrechtliche System in seinen zentralsten Bereichen in Frage gestellt. Ein Einreiseverbot wirkt hier einerseits generalpräventiv, indem es andere Ausländerinnen und Ausländer angesichts der nachteiligen Folgen dazu anhält, sich an die Einreise- und Aufenthaltsvorschriften des Gastlandes zu halten. Aber auch unter dem Aspekt der Spezialprävention ist von einem besonderen öffentlichen Interesse auszugehen, zumal der Beschwerdeführer sich trotz Verhängung einer Fernhaltemassnahme (vgl. Einreiseverbot der Vorinstanz vom 1. Dezember 2009) nicht davon abhalten liess, illegal in die Schweiz einzureisen und sich hier rechtswidrig aufzuhalten. Die mitgeführten gefälschten Ausweispapiere veranschaulichen eine durchdachte und zweckgerichtete Vorgehensweise. Dass sein Rechtsvertreter ihn erst im Januar 2010 über das Einreiseverbot informiert haben soll, ist nicht belegt. Den Akten ist zu entnehmen, dass das Einreiseverbot dem Rechtsvertreter am 9. Dezember 2009 zugestellt worden ist. Überdies hat er innerhalb der mit Urteil des Bezirksgerichts Zürich vom 7. Juni 2009 angesetzten Probezeit delinquiert. Dies lässt den Schluss zu, dem Beschwerdeführer fehle es weitgehend an der Einsicht sich rechtskonform zu verhalten, weshalb das öffentliche Interesse an einem über die ursprüngliche Fernhaltemassnahme hinaus befristeten Einreiseverbot als bedeutend einzustufen ist. Dennoch muss festgehalten werden, dass die schwersten Verfehlungen des Beschwerdeführers bereits beim ersten Einreiseverbot berücksichtigt wurden. Die Vorinstanz hielt diesbezüglich in ihrer Vernehmlassung fest, sie habe bei der Festsetzung der Höhe des Einreiseverbots der persönlichen und familiären Situation des Beschwerdeführers weitestgehend Rechnung getragen. Ohne deren Berücksichtigung sowie der Tatsache, dass dieser sich seit Kindheit in der Schweiz aufgehalten habe, wäre laut Vorinstanz aufgrund der wiederholten schweren Gesetzesverstösse und Verurteilungen ohne weiteres eine Fernhaltemassnahme auf unbestimmte Zeit gerechtfertigt gewesen (vgl. Bst. R). Die Straftaten, welche der Beschwerdeführer nach Verhängung des ersten Einreiseverbots verübt hat, wiegen deutlich weniger schwer, als jene, welche er vor der Verhängung des ersten Einreiseverbots begangen hat (vgl. Bst. B ff.). Überdies enthalten die Akten der Vorinstanz einen Strafregisterauszug einer anderen Person. Dieser listet ein Urteil des Obergerichts des Kantons Zürich vom 2. Februar 1998 auf, welches einen Dritten mit ähnlichen Personalien wegen mehrfachen Raubes sowie Versuchs dazu, mehrfacher Gehilfenschaft zu Raub und mehrfacher Gehilfenschaft zu betrügerischem Missbrauch einer Datenverarbeitungsanlage mit acht Monaten Gefängnis bestrafte. Die Vermutung liegt nicht fern, dass sich die Vorinstanz bei der Festsetzung der Höhe des ersten Einreiseverbots fälschlicherweise auch auf dieses Urteil stützte. 7.2 Persönliche Interessen bringt der Beschwerdeführer keine vor, können jedoch darin erblickt werden, dass seine zwei Kinder, welche das Schweizer Bürgerrecht besitzen, in der Schweiz leben. Die Wirkung des Einreiseverbots besteht jedoch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Der Kontakt zwischen ihm und seinen in der Schweiz lebenden Kinder kann im Übrigen auch auf andere Weise als durch Besuche in der Schweiz gepflegt werden (Briefverkehr, Telefonate, Videotelefonie). Das Fehlen eines dauerhaften Aufenthaltsrechts des Beschwerdeführers steht häufigeren persönlichen Kontakten mit seinen Kindern in der Schweiz bereits entgegen. 7.3 Eine wertende Gewichtung der sich entgegenstehenden öffentli­chen und privaten Interessen führt das Bundesverwaltungs­gericht zum Schluss, dass das Einreiseverbot dem Grundsatz nach zu bestätigen ist, in der ausgesprochenen Dauer von vier Jahren jedoch als unangemessen lang erscheint. Angesichts der konkreten Umstände ist davon auszugehen, dass dem öffentlichen Interesse an der Fernhaltung des Beschwerdeführers mit einem Einreiseverbot von zwei Jahren hinreichend Rechnung getragen wird.</w:t>
      </w:r>
    </w:p>
    <w:p>
      <w:r>
        <w:rPr>
          <w:b/>
        </w:rPr>
        <w:t>E. 8</w:t>
      </w:r>
    </w:p>
    <w:p>
      <w:r>
        <w:t>Aus diesen Erwägungen folgt, dass das auf vier Jahre bemessene Einreiseverbot Bundesrecht verletzt (vgl. Art. 49 VwVG). Die Beschwerde ist daher teilweise gutzuheissen und das gegen den Beschwerdeführer verhängte Einreiseverbot auf zwei Jahre, bis zum 29. November 2014, zu befristen. 9.Bei diesem Ausgang des Verfahrens sind die ermässigten Verfahrenskosten dem Beschwerdeführer aufzuerlegen und mit dem geleisteten Kostenvorschuss zu verrechnen (vgl.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w:t>
      </w:r>
    </w:p>
    <w:p>
      <w:r>
        <w:rPr>
          <w:b/>
        </w:rPr>
        <w:t>E. 10</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