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C-569/2010 vom 3. August 2012</w:t>
      </w:r>
    </w:p>
    <w:p>
      <w:r>
        <w:t>Bundesverwaltungsgericht, 2012-08-03, DE</w:t>
      </w:r>
    </w:p>
    <w:p>
      <w:r>
        <w:rPr>
          <w:b/>
        </w:rPr>
        <w:t xml:space="preserve">Quelle: </w:t>
      </w:r>
      <w:r>
        <w:t>https://mcp.opencaselaw.ch/entscheid/bvger_C-569_2010</w:t>
      </w:r>
    </w:p>
    <w:p>
      <w:r>
        <w:t>FR: TAF C-569/2010 du 3 août 2012</w:t>
      </w:r>
    </w:p>
    <w:p>
      <w:r>
        <w:t>IT: TAF C-569/2010 del 3 agosto 2012</w:t>
      </w:r>
    </w:p>
    <w:p>
      <w:pPr>
        <w:pStyle w:val="Heading2"/>
      </w:pPr>
      <w:r>
        <w:t>Regeste</w:t>
      </w:r>
    </w:p>
    <w:p>
      <w:r>
        <w:t>Reisedokumente für ausländische Personen (Übriges)</w:t>
      </w:r>
    </w:p>
    <w:p>
      <w:pPr>
        <w:pStyle w:val="Heading2"/>
      </w:pPr>
      <w:r>
        <w:t>Erwägungen</w:t>
      </w:r>
    </w:p>
    <w:p>
      <w:r>
        <w:rPr>
          <w:b/>
        </w:rPr>
        <w:t>E. 5.1</w:t>
      </w:r>
    </w:p>
    <w:p>
      <w:r>
        <w:t>Vorliegend ist demnach zu prüfen, ob die Vorinstanz hinsichtlich des Beschwerdeführers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Urteile des Bundesgerichts 2A.335/2006 vom 18. Oktober 2006 E. 2.1 sowie 2A.12/2005 und 2A.13/2005 vom 25. April 2005 E. 3.2 mit Hinweisen).</w:t>
      </w:r>
    </w:p>
    <w:p>
      <w:r>
        <w:rPr>
          <w:b/>
        </w:rPr>
        <w:t>E. 5.2</w:t>
      </w:r>
    </w:p>
    <w:p>
      <w:r>
        <w:t>Namentlich von schutzbedürftigen und asylsuchenden Personen kann im Hinblick auf eine potentielle Gefährdungslage eine Kontaktaufnahme mit den zuständigen Behörden des Heimat- oder Herkunftsstaates nicht verlangt werden (vgl. Art. 6 Abs. 3 RDV). Aus diesen Ausführungen ist zu schliessen, dass von Personen, die - wie der Beschwerdeführer - im Besitz einer Jahresaufenthaltsbewilligung sind, eine solche Kontaktaufnahme im Hinblick auf die Beschaffung von Reisedokumenten verlangt werden kann. Der Beschwerdeführer erhebt denn auch - zu Recht - keine Einwände gegen eine Kontaktaufnahme mit den heimatlichen Behörden. Er ist somit nicht als schriftenlos im Sinne von Art. 6 Abs. 1 Bst. a RDV zu betrachten.</w:t>
      </w:r>
    </w:p>
    <w:p>
      <w:r>
        <w:rPr>
          <w:b/>
        </w:rPr>
        <w:t>E. 5.3</w:t>
      </w:r>
    </w:p>
    <w:p>
      <w:r>
        <w:t>Der Beschwerdeführer führt unter Hinweis auf ein Schreiben der Botschaft von Bosnien und Herzegowina in Bern vom 18. Juni 2007 aus, gemäss dem dortigen Reisepassgesetz werde für den Erhalt eines Passes unter anderem ein Auszug aus dem Geburtenregister mit eingetragener einheitlicher Personenkennzahl und eine Bescheinigung über die Staatsangehörigkeit mit eingetragener einheitlicher Personenkennzahl verlangt. Da er in Y._______, im heutigen Serbien, geboren sei, und bis zu seiner Einreise in die Schweiz immer dort gelebt habe, verfüge er in Bosnien und Herzegowina über keine Personenkennzahl. Deshalb sei es unmöglich, dass ihm eine Behörde in Bosnien und Herzegowina jemals eine Immatrikulationsnummer erteile. Die Begründung des BFM sei widersprüchlich. Einerseits werde verlangt, dass er sich vor Ort in Bosnien und Herzegowina um Abklärungen bemühe. Andererseits werde gemäss Schreiben des Zentrums für öffentliche Sicherheit Banja Luka vom 19. Mai 2008 die Personenkennzahl am Wohnort vergeben.</w:t>
      </w:r>
    </w:p>
    <w:p>
      <w:r>
        <w:rPr>
          <w:b/>
        </w:rPr>
        <w:t>E. 5.4</w:t>
      </w:r>
    </w:p>
    <w:p>
      <w:r>
        <w:t>Gemäss einem Schreiben vom 18. Juni 2007 hat die Botschaft von Bosnien und Herzegowina dem Beschwerdeführer geraten, sich zwecks Bestimmung und Eintragung der einheitlichen Personenkennzahl an die Gemeinde Banja Luka, und zwar an das Standesamt Banja Luka zu wenden. Der Beschwerdeführer reicht nunmehr ein Schreiben des Zentrums für öffentliche Sicherheit von Banja Luka vom 19. Mai 2008 zu den Akten, aus welchem hervorgeht, dass die einheitliche Personenkennzahl am Wohnort vergeben werde.</w:t>
      </w:r>
    </w:p>
    <w:p>
      <w:r>
        <w:rPr>
          <w:b/>
        </w:rPr>
        <w:t>E. 5.5</w:t>
      </w:r>
    </w:p>
    <w:p>
      <w:r>
        <w:t>Der Beschwerdeführer kann zwar gewisse Anstrengungen vorweisen, entsprechende Schritte unternommen zu haben, um die Voraussetzungen für die Ausstellung eines Reisepasses von Bosnien und Herzegowina zu erfüllen. Unter dem Aspekt der strengen Anforderungen, die an die Ernsthaftigkeit der Bemühungen zu stellen sind, genügen diese jedoch nicht, die Unmöglichkeit im Sinne von Art. 6 Abs. 1 Bst. b RDV belegen zu können. Seiner letzten Bemühung zufolge wird die Personenkennzahl, welche eine Voraussetzung für die Ausstellung eines Reisepasses von Bosnien und Herzegowina darstellt, am Wohnort vergeben (vgl. Schreiben der Botschaft von Bosnien und Herzegowina vom 18. Juni 2007 und Schreiben des Zentrums für öffentliche Sicherheit von Banja Luka vom 19. Mai 2008). Der Beschwerdeführer hat sich bislang weder an die Behörden seines letzten Wohnortes Y.______ noch an die Behörden der letzten Wohnsitze seiner Eltern in Bosnien und Herzegowina gewandt.</w:t>
      </w:r>
    </w:p>
    <w:p>
      <w:r>
        <w:rPr>
          <w:b/>
        </w:rPr>
        <w:t>E. 5.6</w:t>
      </w:r>
    </w:p>
    <w:p>
      <w:r>
        <w:t>Aufgrund vorangegangener Ausführungen kann somit nicht davon ausgegangen werden, der Beschwerdeführer habe alles unternommen, um in den Besitz von entsprechenden Reisedokumenten zu gelangen. Vollständigkeitshalber ist zudem an dieser Stelle darauf hinzuweisen, dass die genannten Vorkehrungen von einer bevollmächtigten Drittperson - beispielsweise einem dazu mandatierten Anwalt - vorgenommen werden könnten (vgl. Urteil des Bundesverwaltungsgerichts C-8018/2008 vom 16. März 2011 E. 5.4). Von einer Unmöglichkeit der Beschaffung des beantragten Reisedokuments im Sinne von Art. 6 Abs. 1 Bst. b RDV kann angesichts der vorstehenden Ausführungen somit nicht ausgegangen werden.</w:t>
      </w:r>
    </w:p>
    <w:p>
      <w:r>
        <w:rPr>
          <w:b/>
        </w:rPr>
        <w:t>E. 5.7</w:t>
      </w:r>
    </w:p>
    <w:p>
      <w:r>
        <w:t>Somit erweist sich die Beschaffung eines gültigen heimatlichen Reisedokumentes demnach nicht als objektiv unmöglich im Sinne von Art. 6 Abs. 1 Bst. b RDV. Der Beschwerdeführer ist folglich nicht als schriftenlos gemäss Art. 6 Abs. 1 RDV zu betrachten. 6.Aus diesen Darlegungen folgt, dass die Vorinstanz zu Recht die Schriftenlosigkeit des Beschwerdeführers verneint und die Ausstellung eines Passes für eine ausländische Person verweigert hat. Die angefochtene Verfügung erweist sich somit im Lichte von Art. 49 VwVG als rechtmässig und die Beschwerde ist demzufolge abzuweisen. 7.Dem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