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C-5697/2009 vom 6. Januar 2012</w:t>
      </w:r>
    </w:p>
    <w:p>
      <w:r>
        <w:t>Bundesverwaltungsgericht, 2012-01-06, DE</w:t>
      </w:r>
    </w:p>
    <w:p>
      <w:r>
        <w:rPr>
          <w:b/>
        </w:rPr>
        <w:t xml:space="preserve">Quelle: </w:t>
      </w:r>
      <w:r>
        <w:t>https://mcp.opencaselaw.ch/entscheid/bvger_C-5697_2009</w:t>
      </w:r>
    </w:p>
    <w:p>
      <w:r>
        <w:t>FR: TAF C-5697/2009 du 6 janvier 2012</w:t>
      </w:r>
    </w:p>
    <w:p>
      <w:r>
        <w:t>IT: TAF C-5697/2009 del 6 gennaio 2012</w:t>
      </w:r>
    </w:p>
    <w:p>
      <w:pPr>
        <w:pStyle w:val="Heading2"/>
      </w:pPr>
      <w:r>
        <w:t>Regeste</w:t>
      </w:r>
    </w:p>
    <w:p>
      <w:r>
        <w:t>Invalidenversicherung (IV)</w:t>
      </w:r>
    </w:p>
    <w:p>
      <w:pPr>
        <w:pStyle w:val="Heading2"/>
      </w:pPr>
      <w:r>
        <w:t>Erwägungen</w:t>
      </w:r>
    </w:p>
    <w:p>
      <w:r>
        <w:rPr>
          <w:b/>
        </w:rPr>
        <w:t>E. 1</w:t>
      </w:r>
    </w:p>
    <w:p>
      <w:r>
        <w:t>Anfechtungsobjekt ist vorliegend die Verfügung der Vorinstanz vom 13. August 2009. 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1.1</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1.2</w:t>
      </w:r>
    </w:p>
    <w:p>
      <w:r>
        <w:t>Die Beschwerde wurde frist- und formgerecht eingereicht (Art. 50 Abs. 1, Art. 52 Abs. 1 VwVG; vgl. auch Art. 60 ATSG) weshalb auf die Beschwerde einzutreten ist.</w:t>
      </w:r>
    </w:p>
    <w:p>
      <w:r>
        <w:rPr>
          <w:b/>
        </w:rPr>
        <w:t>E. 2</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Streitig und damit zu prüfen ist, ob die Vorinstanz die Ausrichtung der Invalidenrente während der Dauer des Strafvollzugs mit Wirkung ab 1. Mai 2009 zu Recht sistiert hat.</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Rechtsvorschriften anwendbar, die bei Erfüllung des zu Rechtsfolgen führenden Sachverhalts Geltung haben (BGE 134 V 315 E. 1.2; BGE 130 V 329 E. 2.3). Demnach sind im vorliegenden Verfahren die Bestimmungen des ATSG in der Fassung vom 6. Oktober 2006, in Kraft seit 1. Januar 2008 (5. IV-Revision, AS 2007 5129 bzw. AS 2007 5155) sowie der zugehörigen Verordnung vom 11. September 2002 über den Allgemeinen Teil des Sozialversicherungsrechts (ATSV, SR 830.11) anwendbar (vgl. auch Ueli Kieser, ATSG-Kommentar, 2. Auflage, Zürich Basel Genf 2009, Art. 82 Rz. 5). Das IVG ist grundsätzlich in der Fassung vom 6. Oktober 2006, in Kraft seit dem 1. Januar 2008 anwendbar (5. IV-Revision; AS 2007 5129; BBl 2005 4459); ferner die Verordnung vom 17. Januar 1961 über die Invalidenversicherung (IVV, SR 831.201) in der Fassung vom 28. September 2007 (5. IV-Revision; AS 2007 5155).</w:t>
      </w:r>
    </w:p>
    <w:p>
      <w:r>
        <w:rPr>
          <w:b/>
        </w:rPr>
        <w:t>E. 3.3</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 Bern 2003, § 74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4</w:t>
      </w:r>
    </w:p>
    <w:p>
      <w:r>
        <w:t>Nach Art. 21 Abs. 5 ATSG kann die Auszahlung von Geldleistungen mit Erwerbsersatzcharakter während der Zeit, in der sich eine versicherte Person im Straf- oder Massnahmevollzug befindet, ganz oder teilweise eingestellt werden; ausgenommen sind die Geldleistungen für Angehörige im Sinne von Absatz 3.</w:t>
      </w:r>
    </w:p>
    <w:p>
      <w:r>
        <w:rPr>
          <w:b/>
        </w:rPr>
        <w:t>E. 4.1</w:t>
      </w:r>
    </w:p>
    <w:p>
      <w:r>
        <w:t>Die Rente darf auch während der Untersuchungshaft und beim vorzeitigen Strafvollzug sistiert werden. Dabei spielt es keine Rolle, ob die Massnahme in der Schweiz oder im Ausland vollzogen wird (vgl. Urteil des Bundesgerichts 9C_20/2008 vom 21. August 2008 E. 4; Kreisschreiben über die Invalidität und Hilflosigkeit in der Invalidenversicherung, KSIH, Rz. 6001). Unerheblich für die Rentensistierung ist, ob die Behandlungsbedürftigkeit oder die Sozialgefährdung im Vordergrund stehen (BGE 137 V 154 E. 5.2).</w:t>
      </w:r>
    </w:p>
    <w:p>
      <w:r>
        <w:rPr>
          <w:b/>
        </w:rPr>
        <w:t>E. 4.2</w:t>
      </w:r>
    </w:p>
    <w:p>
      <w:r>
        <w:t>Den Akten ist zu entnehmen, dass der Beschwerdeführer am 30. April 2009, beim Versuch, eine Person mit einem Messer zu verletzen, in D._______, Griechenland, verhaftet worden ist. Mit Urteil des Strafgerichts von D._______ vom 2. Mai 2009 ist der Beschwerdeführer aufgrund der am 30. April 2009 begangenen Straftaten zu einer 3½-jährigen Gefängnisstrafe sowie zur Bezahlung einer Geldbusse von Euro 200.- verurteilt worden (act. 56). Nach anfänglicher Unterbringung im Gefängnis wurde der Beschwerdeführer am 19. Mai 2009 in die Psychiatrische Abteilung der Strafanstalt K._______ - als Teil des Gefängnisses - überstellt. Am 22. September 2009 teilte der Beschwerdeführer mit, dass er von der Staatsanwaltschaft in O._______ freigesprochen worden sei (act. 81). Ebenso gab die Schweizer Botschaft der IVSTA am 25. November 2009 bekannt, dass der Beschwerdeführer freigesprochen worden sei und sich nun in einer psychiatrischen Klinik in T._______ befinde (act. 87). Festzustellen ist, dass die Psychiatrische Abteilung der Strafanstalt K._______ Teil des Gefängnisses ist und sich der Beschwerdeführer auf Anordnung der Justiz im Strafvollzug im Sinne des Gesetzes befand, weshalb die Rente ab 1. Mai 2009 für die Dauer des Gefängnisaufenthalts - als Folgemonat des Vollzugsantritts - zu Recht sistiert worden ist.</w:t>
      </w:r>
    </w:p>
    <w:p>
      <w:r>
        <w:rPr>
          <w:b/>
        </w:rPr>
        <w:t>E. 4.3</w:t>
      </w:r>
    </w:p>
    <w:p>
      <w:r>
        <w:t>Art. 21 Abs. 5 ATSG ist als Kann-Vorschrift abgefasst, das heisst, dass den besonderen Umständen Rechnung zu tragen ist. So ist eine Sistierung dann nicht vorzunehmen, wo eine gesunde Person trotz Straf- oder Massnahmevollzugs einer Erwerbstätigkeit nachgehen könnte (vgl. Kieser, a.a.O., Rz. 101 zu Art. 21 Abs. 5). Art. 21 Abs. 5 ATSG bezweckt die Gleichbehandlung der invaliden mit der validen inhaftierten Person, die durch einen Freiheitsentzug ihr Einkommen verliert. Entscheidend ist, dass eine verurteilte Person wegen der Verbüssung einer Strafe oder Massnahme an einer Erwerbstätigkeit gehindert wird. Nur wenn die Vollzugsart der verurteilten versicherten Person die Möglichkeit bietet, eine Erwerbstätigkeit auszuüben und somit selber für die Lebensbedürfnisse aufzukommen, verbietet es sich, den Rentenanspruch zu sistieren (BGE 137 V 154 E. 5). Massgebend für die Rentensistierung ist somit, ob eine nicht invalide Person in der gleichen Situation durch den Freiheitsentzug einen Erwerbsausfall erleiden würde (BGE 133 V 1). Im vorliegenden Fall gibt es keine Hinweise, dass der Beschwerdeführer die Möglichkeit gehabt hätte, während der Unterbringung in der psychiatrischen Klinik des Gefängnisses K._______ einer Erwerbstätigkeit nachzugehen, weshalb die Sistierung der Rente auch in dieser Hinsicht nicht zu beanstanden ist.</w:t>
      </w:r>
    </w:p>
    <w:p>
      <w:r>
        <w:rPr>
          <w:b/>
        </w:rPr>
        <w:t>E. 4.4</w:t>
      </w:r>
    </w:p>
    <w:p>
      <w:r>
        <w:t>Das Bundesverwaltungsgericht kommt somit zum Schluss, dass die Vorinstanz die Rente zu Recht mit Wirkung ab 1. Mai 2009 sistiert hat. Eine allfällige Rückforderung ist vorliegend nicht zu prüfen, da die Vorinstanz diesbezüglich soweit ersichtlich noch nicht verfügt hat.</w:t>
      </w:r>
    </w:p>
    <w:p>
      <w:r>
        <w:rPr>
          <w:b/>
        </w:rPr>
        <w:t>E. 4.5</w:t>
      </w:r>
    </w:p>
    <w:p>
      <w:r>
        <w:t>Die Beschwerde ist deshalb abzuweisen und die angefochtene Verfügung vom 13. August 2009 zu bestätigen.</w:t>
      </w:r>
    </w:p>
    <w:p>
      <w:r>
        <w:rPr>
          <w:b/>
        </w:rPr>
        <w:t>E. 5</w:t>
      </w:r>
    </w:p>
    <w:p>
      <w:r>
        <w:t>Zu befinden bleibt noch über die Verfahrenskosten und eine allfällige Parteientschädigung. Gemäss Art. 69 Abs. 1bis i.V.m. Art. 69 Abs. 2 IVG ist das Beschwerdeverfahren bei Streitigkeiten um die Bewilligung oder Verweigerung von IV-Leistungen vor dem Bundesverwaltungsgericht kostenpflichtig. Die Verfahrenskosten werden in der Regel der unterliegenden Partei auferlegt (Art. 63 Abs. 1 VwVG). Der Beschwerdeführer stellte indessen in seiner Beschwerde sinngemäss ein Gesuch um Bewilligung der unentgeltlichen Rechtspflege (vgl. Art. 64 VwVG). Da die Bedürftigkeit des Beschwerdeführers aktenkundig ist und die Beschwerde nicht zum Vornherein aussichtslos erschien, ist das Gesuch gutzuheissen und auf die Erhebung von Verfahrenskosten zu verzichten.</w:t>
      </w:r>
    </w:p>
    <w:p>
      <w:r>
        <w:rPr>
          <w:b/>
        </w:rPr>
        <w:t>E. 5.1</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