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C-5694/2008 vom 2. Oktober 2009</w:t>
      </w:r>
    </w:p>
    <w:p>
      <w:r>
        <w:t>Bundesverwaltungsgericht, 2009-10-02, FR</w:t>
      </w:r>
    </w:p>
    <w:p>
      <w:r>
        <w:rPr>
          <w:b/>
        </w:rPr>
        <w:t xml:space="preserve">Quelle: </w:t>
      </w:r>
      <w:r>
        <w:t>https://mcp.opencaselaw.ch/entscheid/bvger_C-5694_2008</w:t>
      </w:r>
    </w:p>
    <w:p>
      <w:r>
        <w:t>FR: TAF C-5694/2008 du 2 octobre 2009</w:t>
      </w:r>
    </w:p>
    <w:p>
      <w:r>
        <w:t>IT: TAF C-5694/2008 del 2 ottobre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 le règlement d'exécution du 1er mars 1949 de la loi fédérale sur le séjour et l'établissement des étrangers (RSEE de 1949, RO 1949 I 232) (cf. art. 91 de l'ordonnance du 24 octobre 2007 relative à l'admission, au séjour et à l'exercice d'une activité lucrative [OASA, RS 142.201]). Dès lors qu'en l'occurrence, la décision cantonale refusant la prolongation de l'autorisation de séjour et faisant débuter la procédure de renvoi date du 1er octobre 2007, soit avant l'entrée en vigueur de la LEtr, l'ancien droit matériel est applicable conformément à l'art. 126 al. 1 LEtr (cf. en ce sens ATAF 2008/1 consid. 2 p. 2ss et arrêt du Tribunal administratif fédéral C-3377/2008 du 3 mars 2009 consid. 4.3). En revanche, en vertu de l'art. 126 al. 2 LEtr, la procédure relative aux demandes déposées avant l'entrée en vigueur de la LEtr est régie par le nouveau droit.</w:t>
      </w:r>
    </w:p>
    <w:p>
      <w:r>
        <w:rPr>
          <w:b/>
        </w:rPr>
        <w:t>E. 1.3</w:t>
      </w:r>
    </w:p>
    <w:p>
      <w:r>
        <w:t>A moins que la LTAF n'en dispose autrement, la procédure devant le Tribunal est régie par la PA (art. 37 LTAF).</w:t>
      </w:r>
    </w:p>
    <w:p>
      <w:r>
        <w:rPr>
          <w:b/>
        </w:rPr>
        <w:t>E. 1.4</w:t>
      </w:r>
    </w:p>
    <w:p>
      <w:r>
        <w:t>L'intéressé a qualité pour recourir (cf. art. 48 al. 1 PA). Son recours, présenté dans la forme et le délai prescrits par la loi, est recevable (cf. art. 50 et 52 PA).</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w:t>
      </w:r>
    </w:p>
    <w:p>
      <w:r>
        <w:rPr>
          <w:b/>
        </w:rPr>
        <w:t>E. 3.2</w:t>
      </w:r>
    </w:p>
    <w:p>
      <w:r>
        <w:t>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w:t>
      </w:r>
    </w:p>
    <w:p>
      <w:r>
        <w:rPr>
          <w:b/>
        </w:rPr>
        <w:t>E. 3.3</w:t>
      </w:r>
    </w:p>
    <w:p>
      <w:r>
        <w:t>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 Dans ces conditions, les motifs ayant conduit les autorités cantonales de police des étrangers, après une pesée des intérêts publics et privés en présence, à refuser l'octroi d'une autorisation de séjour et à prononcer le renvoi du recourant de son territoire ne sauraient être remis en question dans le cadre de la présente procédure fédérale d'extension (cf. arrêt du Tribunal administratif fédéral C-628/2006 du 26 juin 2009 consid. 3.2), de sorte que la conclusion du recours tendant à l'annulation de « toutes les décisions cantonales » est irrecevable, le TAF n'ayant pas la compétence de les remettre en cause. De même, les arguments du recours relatifs à l'art. 13 let. f OLE ne peuvent pas non plus être examinés dans le cadre de la présente procédure, dès lors que cette question est extrinsèque à l'objet du litige (cf. ATF 134 V 418 consid. 5.2.1; 131 II 200 consid. 3; 130 V 138 consid. 2.1 et JAAC 69.6).</w:t>
      </w:r>
    </w:p>
    <w:p>
      <w:r>
        <w:rPr>
          <w:b/>
        </w:rPr>
        <w:t>E. 3.4</w:t>
      </w:r>
    </w:p>
    <w:p>
      <w:r>
        <w:t>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 du 1er octobre 2007 refusant la prolongation de l'autorisation de séjour de A._______ et prononçant son renvoi du territoire cantonal a été confirmée par le Tribunal cantonal vaudois en date du 7 avril 2008, puis par le Tribunal fédéral par arrêt du 19 juin 2008. En outre, par décision du 8 septembre 2008, le SPOP a prononcé l'irrecevabilité de la demande de réexamen déposée par le requérant et subsidiairement son rejet. Ces décisions ont acquis force de chose jugée et sont dès lors exécutoires. Le recourant, à défaut d'être encore titulaire d'un titre de séjour, n'est donc plus autorisé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le recourant aurait engagé, à la suite des décisions négatives rendues par les autorités vaudoises, une nouvelle procédure d'autorisation dans un canton tiers qui se serait déclaré disposé à régler ses conditions de séjour sur son propre territoire (cf. JAAC 62.52 consid. 9).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5.1</w:t>
      </w:r>
    </w:p>
    <w:p>
      <w:r>
        <w:t>La décision de renvoi de Suisse étant confirmée, il convient encore d'examiner s'il se justifie,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 ment exigée si elle implique la mise en danger concrète de l'étranger (art. 14a al. 2 à 4 LSEE).</w:t>
      </w:r>
    </w:p>
    <w:p>
      <w:r>
        <w:rPr>
          <w:b/>
        </w:rPr>
        <w:t>E. 5.2</w:t>
      </w:r>
    </w:p>
    <w:p>
      <w:r>
        <w:t>En l'espèce, le recourant, qui a obtenu à plusieurs reprises des visas de retour du SPOP, est en possession de documents suffisants pour rentrer dans son pays ou, à tout le moins, est à même de se procurer un nouveau passeport auprès des autorités de la République du Kosovo (qui en délivrent depuis le 30 juillet 2008), étant rappelé qu'il lui appartient d'accomplir les démarches nécessaires en vue de la délivrance d'un document de voyage lui permettant de quitter la Suisse. Le TAF considère ainsi que l'exécution du renvoi ne se heurte pas à des obstacles insurmontables d'ordre technique et se révèle possible (art. 14a al. 2 LSEE).</w:t>
      </w:r>
    </w:p>
    <w:p>
      <w:r>
        <w:rPr>
          <w:b/>
        </w:rPr>
        <w:t>E. 5.3</w:t>
      </w:r>
    </w:p>
    <w:p>
      <w:r>
        <w:t>A._______ n'a pas non plus allégué qu'il existait pour lui, en cas de renvoi dans son pays, un véritable risque concret et sérieux - au-delà de tout doute raisonnable - d'être victime de tortures, ou de traitements inhumains ou dégradants, au sens de l'art. 3 de la Convention du 4 novembre 1950 de sauvegarde des droits de l'homme et des libertés fondamentales (CEDH, RS 0.101; JACQUES VELU / RUSEN ERGEC, La Convention européenne des droits de l'homme, Bruxelles 1990, p. 203ss; ARTHUR HAEFLIGER, Die Menschenrechtskonvention und die Schweiz, Berne 1993, p. 64ss; cf. sur ce point la jurisprudence de la Commission européenne des droits de l'homme dont des extraits ont été publiés dans la JAAC 67.138 consid. 1, 64.156 consid. 6.2 à 6.4, 62.89 consid. 1; voir également l'ATF 121 II 296 consid. 5a/aa, ainsi que KAELIN, op. cit., p. 245 et réf. citées). Il s'impose à cet égard de relever que la demande d'asile du prénommé a été définitivement rejetée en date du 10 septembre 2002 et que l'examen du dossier révèle que le recourant s'est rendu, à plusieurs reprises, dans son pays durant son séjour en Suisse. Il appert au demeurant que la situation générale au Kosovo a connu une stabilisation depuis la proclamation de l'indépendance. Au surplus, en date du 6 mars 2009, le Conseil fédéral a déclaré le Kosovo "état sûr", rang auquel peut être élevé un Etat assurant le respect des droits de l'homme, ainsi que l'application des conventions internationales conclues dans les domaines des droits de l'homme et des réfugiés. Aussi, l'exécution du renvoi de A._______ ne transgressant aucun engagement pris par la Suisse relevant du droit international, elle s'avère licite (art. 14a al. 3 LSEE).</w:t>
      </w:r>
    </w:p>
    <w:p>
      <w:r>
        <w:rPr>
          <w:b/>
        </w:rPr>
        <w:t>E. 5.4</w:t>
      </w:r>
    </w:p>
    <w:p>
      <w:r>
        <w:t>Reste à examiner si l'exécution du renvoi de l'intéressé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arrêt du TAF C-4177/2008 du 21 juillet 2009 consid. 5.4 et jurisprudence citée).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En l'occurrence, ni la situation régnant actuellement au Kosovo, ni la situation personnelle de A._______ ne permettent au Tribunal de conclure à une mise en danger concrète de l'intéressé en cas de renvoi dans son pays d'origine. En effet, même si ce dernier a quitté son pays d'origine depuis un peu plus de sept ans, il n'en demeure pas moins que le prénommé est jeune, qu'il est au bénéfice d'une expérience professionnelle de plusieurs années, qu'il dispose d'attaches socio-culturelles dans sa patrie et qu'il n'a pas fait valoir de problèmes de santé particuliers. Par ailleurs, l'argument selon lequel le recourant n'aurait plus aucun lien avec son pays d'origine n'est point déterminant sous l'angle de l'art. 14a al. 4 LSEE, étant néanmoins souligné que cette allégation tombe à faux, dès lors que, comme déjà relevé ci-dessus, l'intéressé s'est rendu, à diverses reprises, au Kosovo durant son séjour en Suisse. Au demeurant, ainsi que relevé plus haut (cf. consid. 3.3), les arguments visant à démontrer que l'étranger a un intérêt privé prépondérant à demeurer en Suisse (tels par exemple les liens personnels qu'il a noués avec ce pays et les attaches familiales et professionnelles qu'il y possède) ne sont susceptibles d'être pris en considération que lors de la phase antérieure de procédure de police des étrangers portant sur l'examen de la question du règlement des conditions de séjour de la personne concernée. Des arguments de cette nature ne sauraient donc faire encore l'objet d'un examen par les autorités fédérales de police des étrangers au moment où celles-ci sont appelées à se prononcer sur l'exigibilité du renvoi au sens de l'art 14a al. 4 LSEE. Le Tribunal ne reviendra donc pas sur les aspects liés à l'intégration du recourant depuis son arrivée en Suisse, lesquels ont déjà été discutés de manière approfondie dans le cadre de la procédure cantonale d'autorisation (cf. consid. 3 supra; voir également JAAC 62.52 consid. 13.2 in fine). A toutes fins utiles, il sera encore remarqué que les éventuels motifs résultant de difficultés consécutives à la situation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TAF C-429/2008 du 27 avril 2009 consid. 6.4 et jurisprudence citée). Le Tribunal est ainsi amené à conclure que l'exécution du renvoi de Suisse de A._______ est raisonnablement exigible.</w:t>
      </w:r>
    </w:p>
    <w:p>
      <w:r>
        <w:rPr>
          <w:b/>
        </w:rPr>
        <w:t>E. 6</w:t>
      </w:r>
    </w:p>
    <w:p>
      <w:r>
        <w:t>Il ressort de ce qui précède que, par sa décision du 7 août 2008,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