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C-5685/2009 vom 5. Dezember 2012</w:t>
      </w:r>
    </w:p>
    <w:p>
      <w:r>
        <w:t>Bundesverwaltungsgericht, 2012-12-05, DE</w:t>
      </w:r>
    </w:p>
    <w:p>
      <w:r>
        <w:rPr>
          <w:b/>
        </w:rPr>
        <w:t xml:space="preserve">Quelle: </w:t>
      </w:r>
      <w:r>
        <w:t>https://mcp.opencaselaw.ch/entscheid/bvger_C-5685_2009</w:t>
      </w:r>
    </w:p>
    <w:p>
      <w:r>
        <w:t>FR: TAF C-5685/2009 du 5 décembre 2012</w:t>
      </w:r>
    </w:p>
    <w:p>
      <w:r>
        <w:t>IT: TAF C-5685/2009 del 5 dicembre 2012</w:t>
      </w:r>
    </w:p>
    <w:p>
      <w:pPr>
        <w:pStyle w:val="Heading2"/>
      </w:pPr>
      <w:r>
        <w:t>Regeste</w:t>
      </w:r>
    </w:p>
    <w:p>
      <w:r>
        <w:t>Aufsichtsmittel</w:t>
      </w:r>
    </w:p>
    <w:p>
      <w:pPr>
        <w:pStyle w:val="Heading2"/>
      </w:pPr>
      <w:r>
        <w:t>Erwägungen</w:t>
      </w:r>
    </w:p>
    <w:p>
      <w:r>
        <w:rPr>
          <w:b/>
        </w:rPr>
        <w:t>E. 1.1</w:t>
      </w:r>
    </w:p>
    <w:p>
      <w:r>
        <w:t>Anfechtungsgegenstand des vorliegenden Verfahrens sind die Verwaltungsakte des Amtes für berufliche Vorsorge und Stiftungen des Kantons Zürich (Vorinstanz) vom 7. Juli 2009 sowie 13. November 2009, welche ohne Zweifel jeweils eine Verfügung im Sinne von Art. 5 des Bundesgesetzes vom 20. Dezember 1968 über das Verwaltungsverfahren (VwVG, SR 172.021) darstellen.</w:t>
      </w:r>
    </w:p>
    <w:p>
      <w:r>
        <w:rPr>
          <w:b/>
        </w:rPr>
        <w:t>E. 1.2</w:t>
      </w:r>
    </w:p>
    <w:p>
      <w:r>
        <w:t>Gemäss Art. 31 VGG beurteilt das Bundesverwaltungsgericht Beschwerden gegen Verfügungen nach Art. 5 VwVG, sofern keine Ausnahme nach Art. 32 VGG vorliegt. Als Vorinstanzen gelten die in Art. 33 VGG genannten Behörden. Zu den beim Bundesverwaltungsgericht anfechtbaren Verfügungen gehören jene der Aufsichtsbehörden im Bereich der beruflichen Vorsorge gemäss Art. 74 Abs. 1 BVG i.V.m. Art. 33 Bst. i VGG. Eine Ausnahme im Sinne von Art. 32 VGG liegt in casu nicht vor.</w:t>
      </w:r>
    </w:p>
    <w:p>
      <w:r>
        <w:rPr>
          <w:b/>
        </w:rPr>
        <w:t>E. 1.3</w:t>
      </w:r>
    </w:p>
    <w:p>
      <w:r>
        <w:t>Die Beschwerdelegitimation im Verfahren vor dem Bundesverwaltungsgericht bestimmt sich nach Art. 48 VwVG (vgl. Art. 37 VGG). Danach ist zur Beschwerde berechtigt, wer vor der Vorinstanz am Verfahren teilgenommen hat oder keine Möglichkeit zur Teilnahme erhalten hat (Abs. 1 Bst. a), durch die angefochtene Verfügung besonders berührt ist (Abs. 1 Bst. b) und ein schutzwürdiges Interesse an deren Aufhebung oder Änderung hat (Abs. 1 Bst. c). Die Beschwerdeführer sind Destinatäre der Beschwerdegegnerin und von der beschlossenen Verwendung der Mittel, was sie in die Beschwerdegegnerin eingebracht haben, welche mit der angefochtenen Verfügung bestätigt wurde (C-5685/2009), beziehungsweise von der Kostenauflage (C-7811/2009) besonders berührt. Zudem haben sie am vorinstanzlichen Verfahren teilgenommen. Sie sind daher zur Beschwerde legitimiert.</w:t>
      </w:r>
    </w:p>
    <w:p>
      <w:r>
        <w:rPr>
          <w:b/>
        </w:rPr>
        <w:t>E. 1.4</w:t>
      </w:r>
    </w:p>
    <w:p>
      <w:r>
        <w:t>Die Beschwerden wurden innert Frist (Art. 50 VwVG) und formgerecht (Art. 52 VwVG) eingereicht. Auch der verlangte Kostenvorschuss im Verfahren C-5685/2009 wurde fristgerecht einbezahlt.</w:t>
      </w:r>
    </w:p>
    <w:p>
      <w:r>
        <w:rPr>
          <w:b/>
        </w:rPr>
        <w:t>E. 1.5</w:t>
      </w:r>
    </w:p>
    <w:p>
      <w:r>
        <w:t>Auf die Beschwerden ist daher unter Vorbehalt der nachfolgenden Erwägung 3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Eine Einschränkung in diesem Sinne liegt nicht vor, da die Vorinstanz zwar als kantonale Behörde, nicht aber als Beschwerdeinstanz verfügt hat.</w:t>
      </w:r>
    </w:p>
    <w:p>
      <w:r>
        <w:rPr>
          <w:b/>
        </w:rPr>
        <w:t>E. 2.2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Erw. 2 mit Hinweisen). Ermessensüberschreitung liegt vor, wenn die Behörden Ermessen ausüben, wo das Gesetz kein oder nur ein geringeres Ermessen einräumt (Kölz/Häner, Verwaltungsverfahren und Verwaltungsrechtspflege des Bundes, 2. Aufl., Zürich 1998, Rz 627).</w:t>
      </w:r>
    </w:p>
    <w:p>
      <w:r>
        <w:rPr>
          <w:b/>
        </w:rPr>
        <w:t>E. 3.1</w:t>
      </w:r>
    </w:p>
    <w:p>
      <w:r>
        <w:t>Der Anfechtungsgegenstand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130 V 501 E. 1.1; 125 V 413 E. 1b, 119 Ib 36 E. 1b mit Hinweisen; Fritz Gygi, Bundesverwaltungsrechtspflege, 2. Aufl., Bern 1983, S. 44 ff.). Vorliegend hat die Vorinstanz in der angefochtenen Verfügung vom 7. Juli 2009 einerseits die Aufsichtsbeschwerde abgewiesen (Dispositivziffer I) und andererseits den unterliegenden Beschwerdeführern gemäss § 4 Abs. 1 Bst. h der kantonalen Verordnung über die Gebühren über die berufliche Vorsorge und das Stiftungswesen eine Gebühr von Fr. 4'000.- auferlegt (Dispositivziffer II).</w:t>
      </w:r>
    </w:p>
    <w:p>
      <w:r>
        <w:rPr>
          <w:b/>
        </w:rPr>
        <w:t>E. 3.2</w:t>
      </w:r>
    </w:p>
    <w:p>
      <w:r>
        <w:t>Die Beschwerdeführer fechten mit ihrer Beschwerde vom 8. September 2009 (C-5685/2009) die Verfügung vom 7. Juli 2009 formell als Ganzes an. Wie sie in ihrer Beschwerde vom 16. Dezember 2009 (C-7811/2009) geltend machen, haben sie sich mit ihrer Einsprache vom 7. August 2009 an die Vorinstanz nochmals gegen die ihnen in dieser Verfügung auferlegte Gebühr gewendet; dies nachdem ihnen die Vorinstanz in der (ihnen separat zugestellten) Gebührenrechnung laut Rechtsmittelbelehrung Gelegenheit zur Einsprache innerhalb von 30 Tagen gewährte (vgl. act. 1/3 im Verfahren C-7811/2009), was auch von der Vorinstanz in ihrer angefochtenen Verfügung vom 13. November 2009 (vgl. Erwägung I.5 und I.6) bestätigt wird. Mit letzterer Verfügung hat die Vorinstanz damit zum zweiten Mal über denselben Sachverhalt (Auferlegung einer Gebühr im aufsichtsrechtlichen Beschwerdeverfahren; vgl. Verfügung vom 7. Juli 2009 E. 7 und Dispositivziffer II) befunden. Dass gegen dieselbe Verfügung zwei unterschiedliche Rechtsmittel, nämlich die Beschwerde an das Bundesverwaltungsgericht einerseits und die Einsprache an die verfügende Behörde andererseits, gewährt werden, ist weder in den genannten verfahrensrechtlichen Bestimmungen des Bundesrechts noch im kantonalen Recht, auf welches sich die Vorinstanz stützt, vorgesehen und ist vorliegend auch nicht notwendig. Mit ihrer separaten Eingabe vom 16. Dezember 2009, welche ebenfalls form- und fristgerecht erfolgte, wollten die Beschwerdeführer ihre Beschwerde vom 8. September 2009 dahingehend ergänzen, dass diese auch die ihnen auferlegte Gebühr betreffe und damit zum Streitgegenstand der angefochtenen Verfügung vom 7. Juli 2009 gehöre. Daher hätte die Vorinstanz diese Eingabe unverzüglich an das Bundesverwaltungsgericht weiterleiten müssen, nachdem Letzteres die Vorinstanz mit Zwischenverfügung vom 17. September 2009 im Verfahren C-5685/2009 (act. 2) über den Eingang der Beschwerde in Kenntnis setzte. Daher erweist sich die angefochtene Verfügung vom 13. November 2009 im Verfahren C-7811/2009 hinsichtlich ihres Zustandekommens als fehlerhaft und ist aufzuheben. Die darin vorgebrachten Darlegungen der Vorinstanz werden statt dessen als zusätzliche Vernehmlassung zur Beschwerde vom 8. September 2009 im Verfahren C-5685/2009 hinsichtlich der bestrittenen Auferlegung der Gebühren entgegengenommen. Den Beschwerdeführern erwächst dadurch insofern kein Nachteil (Art. 38 VwVG), als ihre diesbezüglichen Rügen im vorliegenden Verfahren geprüft und in Erwägung 7 näher behandelt werden.</w:t>
      </w:r>
    </w:p>
    <w:p>
      <w:r>
        <w:rPr>
          <w:b/>
        </w:rPr>
        <w:t>E. 3.3</w:t>
      </w:r>
    </w:p>
    <w:p>
      <w:r>
        <w:t>Die Beschwerdeführer machen in ihrem Hauptantrag (Antrag 1a und Eventualantrag 1b) geltend, die kollektiv übertragenen freien Mittel seien per Transferdatum 31. Dezember 1997 den Altersguthaben der eingetretenen Destinatäre anteilsmässig gutzuschreiben, statt wie in den Übernahmeverträgen zwischen der G._______-Pensionsstiftung I bzw. G._______-Pensionsstiftung II sowie Pensionskasse der H._______ bzw. Vorsorgestiftung der H._______ (abgebende Stiftungen) und der Beschwerdegegnerin (übernehmende Stiftung) vorgesehen, kollektiv zum Einkauf in die Zinsreserve zu verwenden bzw. dem Sonderkonto "Besitzstandgarantie" gutzuschreiben. Ihrer Ansicht nach seien diese Übernahmeverträge nicht rechtsgültig erfolgt. Dieselbe Rüge hatten verschiedene Destinatäre, auch die Beschwerdeführer, bereits in ihrer Aufsichtsbeschwerde vom 6. Dezember 2002 vorgebracht, welche zuerst von der Vorinstanz und im anschliessenden Rechtsmittelverfahren von der Eidgenössischen Beschwerdekommission der beruflichen Alters-, Hinterlassenen- und Invalidenvorsorge mit Urteil BKBVG 109/04 vom 9. November 2005 (Vorakten 1/20) sowie letztinstanzlich vom Bundesgericht mit Urteil 2A.735/2005 vom 19. Juni 2006 (Vorakten 1/23) abgewiesen wurde. Damit ist im vorliegenden Verfahren auf die erneut vorgebrachte Rüge, welche im Übrigen auch nicht zum Streitgegenstand der angefochtenen Verfügung gehört, zumal sie die Vorinstanz - da sie von den Beschwerdeführern in ihrer Aufsichtsbeschwerde vom 6. Dezember 2002 vorgebracht wurde - nicht zu prüfen hatte, nicht einzutreten. Wie die Beschwerdeführer jedoch zu Recht geltend machen, hat das Bundesgericht im besagten Urteil nicht geprüft, ob die in die neue, übernehmende Vorsorgeeinrichtung (vorliegend die Beschwerdegegnerin) eingebrachten freien Mittel rechtskonform verwendet wurden, zumal die Überprüfung dieser Verpflichtungen der Aufsichtsbehörde der übernehmenden Vorsorgeeinrichtung (hier die Vorinstanz) obliege (vgl. E. 3.4 im erwähnten BGer-Urteil). Somit bleibt vorliegend einzig materiell zu prüfen, ob die Vorinstanz zu Recht die zweckkonforme Verwendung der Zinsreserve im Jahr 2001 durch die Beschwerdegegnerin bejaht hat, was von den Beschwerdeführer bestritten wird (vgl. Subeventualantrag 1c).</w:t>
      </w:r>
    </w:p>
    <w:p>
      <w:r>
        <w:rPr>
          <w:b/>
        </w:rPr>
        <w:t>E. 4.1</w:t>
      </w:r>
    </w:p>
    <w:p>
      <w:r>
        <w:t>Nach bundesgerichtlicher Rechtsprechung und Lehre ist die Rechtmässigkeit eines Verwaltungsakts grundsätzlich nach der Rechtslage zur Zeit seines Erlasses zu beurteilen (BGE 126 II 522, E. 3b/aa; 125 II 591, E. 5e/aa; Ulrich Häfelin/Georg Müller/Felix Uhlmann, Allgemeines Verwaltungsrecht, 5. Aufl., Zürich/Basel/Genf 2006, Rz. 325 ff.; Pierre Tschannen/Ulrich Zimmerli, Allgemeines Verwaltungsrecht, 2. Aufl., Bern 2005, § 24 Rz. 21). Bei Rechtsänderungen gilt, dass Verfahrensvorschriften grundsätzlich mit dem Tag ihres Inkrafttretens sofort und uneingeschränkt anwendbar sind. Anders verhält es sich aber, wenn eine grundlegend neue Verfahrensordnung geschaffen worden ist, sodass keine Kontinuität zwischen bisherigem und neuem Recht besteht (Ulrich Häfelin/Georg Müller/Felix Uhlmann, a.a.O. Rz. 327a). In solchen Fällen ist für die Beurteilung von Ansprüchen und Forderungen, die ausschliesslich während der Geltungszeit des alten Rechts begründet worden sind, bisheriges Recht anzuwenden. Das neue Verfahrensrecht gelangt nur dann zur Anwendung, wenn dies aus dem neuen Recht klar hervorgeht oder spezielle Umstände dies notwendig machen, wie etwa die im öffentlichen Interesse liegende sofortige Durchsetzung des neuen materiellen Rechts (vgl. BGE 112 V 356 E. 4). Vorliegend sind die angefochtenen Verfügungen der Vorinstanz am 7. Juli und 13. November 2009 erlassen worden, weshalb vorliegend für die Beurteilung der aufsichtsrechtlichen Massnahmen, die sich auf materielles Recht abstützen, das BVG in seiner bis zum 31. Dezember 2011 geltenden Fassung zu berücksichtigen ist.</w:t>
      </w:r>
    </w:p>
    <w:p>
      <w:r>
        <w:rPr>
          <w:b/>
        </w:rPr>
        <w:t>E. 4.2</w:t>
      </w:r>
    </w:p>
    <w:p>
      <w:r>
        <w:t>Gemäss Art. 61 Abs. 1 BVG hat jeder Kanton eine Behörde zu bezeichnen, welche die Vorsorgeeinrichtungen mit Sitz auf seinem Gebiet beaufsichtigt. Die Aufsichtsbehörde wacht darüber, dass die Vorsorgeeinrichtungen die gesetzlichen Vorschriften einhalten, indem sie unter anderem die Übereinstimmung der reglementarischen Bestimmungen mit den gesetzlichen Vorschriften prüft (Art. 62 Abs. 1 Bst. a BVG).</w:t>
      </w:r>
    </w:p>
    <w:p>
      <w:r>
        <w:rPr>
          <w:b/>
        </w:rPr>
        <w:t>E. 4.3</w:t>
      </w:r>
    </w:p>
    <w:p>
      <w:r>
        <w:t>Die Aufsichtsbehörde ist gemäss Art. 62 Abs. 1 Bst. d BVG auch befugt, Massnahmen zur Behebung von Mängeln zu treffen. Hierzu stehen ihr repressive und präventive Aufsichtsmittel zur Verfügung. Mittels des repressiven Handelns soll der rechtmässige Zustand wieder hergestellt werden und die präventiven Mittel sind darauf ausgelegt, gesetzes- und statutenwidriges Verhalten der Pensionskasse durch eine laufende Kontrolle ihrer Geschäftstätigkeit zu verhindern. Als repressive Aufsichtsmittel kommen unter anderem in Frage, die Mahnung pflichtvergessener Organe, das Erteilen von Weisungen oder Auflagen, soweit die Vorsorgeeinrichtung keinen Ermessensspielraum hat, oder die Aufhebung und Änderung von Entscheiden oder Erlassen der Stiftungsorgane, wenn und soweit diese gesetzes- oder urkundenwidrig sind (Isabelle Vetter-Schreiber, Staatliche Haftung bei mangelhafter BVG-Aufsichtstätigkeit, Zürich 1996, S. 63 ff.; Christina Ruggli, Die behördliche Aufsicht über Vorsorgeeinrichtungen, Basel 1992, S. 111 ff.; Jürg Brühwiler, Obligatorische berufliche Vorsorge, in: Schweizerisches Bundesverwaltungsrecht, Ulrich Meyer [Hrsg,], 2. Aufl. 2007, S. 2020 Rz 52). Die Aufzählung ist nicht abschliessend. Auf 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(Isabelle Vetter-Schreiber, a.a.O., S. 33f.; Carl Helbling, Personalvorsorge und BVG, 8. Auflage, Bern 2006, S. 667). Dabei hat die Aufsichtsbehörde zu beachten, dass der Vorsorgeeinrichtung ein Ermessen zusteht. Sie hat nur bei Ermessensfehlern (Überschreitung oder Missbrauch des Ermessens) einzugreifen, während ein sich an den Rahmen des Ermessens haltendes Verhalten ein richtiges Verhalten darstellt, das die Aufsichtsbehörde nicht korrigieren darf (Hans Michael Riemer, Gabriela Riemer-Kafka, Das Recht der beruflichen Vorsorge in der Schweiz, 2. Aufl., Bern 2006, § 2 Rz. 98, S. 62 mit Hinweisen auf die bundesgerichtliche Rechtsprechung, vgl. auch Jürg Brühwiler, a.a.O, S. 2019 Rz 51).</w:t>
      </w:r>
    </w:p>
    <w:p>
      <w:r>
        <w:rPr>
          <w:b/>
        </w:rPr>
        <w:t>E. 4.4</w:t>
      </w:r>
    </w:p>
    <w:p>
      <w:r>
        <w:t>Nach Lehre und Rechtsprechung kann der am Einschreiten der Stiftungsaufsichtsbehörde Interessierte auf dem Beschwerdeweg an diese Behörde gelangen. Die Beschwerde nach Art. 61 ff. BVG ist ein vollwertiges Rechtsmittel, das dem Einzelnen einen Anspruch auf einen Entscheid einräumt, und nicht bloss eine Aufsichtsbeschwerde im eigentlichen Sinne, die keinen Anspruch auf einen Entscheid einräumt (BGE 112 Ia 180 E. 3d mit weiteren Hinweisen; Isabelle Vetter-Schreiber, a.a.O, S. 52; Hans Michael Riemer, Gabriela Riemer-Kafka, Das Recht der beruflichen Vorsorge in der Schweiz, 2. Aufl., Bern 2006, S. 164).</w:t>
      </w:r>
    </w:p>
    <w:p>
      <w:r>
        <w:rPr>
          <w:b/>
        </w:rPr>
        <w:t>E. 5.1</w:t>
      </w:r>
    </w:p>
    <w:p>
      <w:r>
        <w:t>In diesem Sinne gelangten wie erwähnt die Beschwerdeführer im vorinstanzlichen Verfahren mit ihrer Eingabe vom 6. Dezember 2002 (Vorakten 1) an die Vorinstanz als Aufsichtsbehörde. Die Beschwerdeführer wandten sich dabei gegen die von der Beschwerdegegnerin im Geschäftsjahr 2001 gemäss Bilanz erfolgte Belastung der Zinsreserve im Umfang von Fr. 25'766'790, welche laut Geschäftsbericht 2001, zusammen mit anderen Mitteln, zur Deckung einer Lücke von Fr. 253.6 Mio. in der Erfolgsrechnung verwendet wurde (vgl. Vorakten 1/1 S. 4). Sie machen eine zweckwidrige Verwendung der Zinsreserve geltend, da diese ihrer Ansicht nach keine Wertschwankungsreserve darstelle, sondern dazu bestimmt sei, die Minimalverzinsung der Altersguthaben von 4 Prozent in den Jahren mit schlechter Performance zu finanzieren.</w:t>
      </w:r>
    </w:p>
    <w:p>
      <w:r>
        <w:rPr>
          <w:b/>
        </w:rPr>
        <w:t>E. 5.2</w:t>
      </w:r>
    </w:p>
    <w:p>
      <w:r>
        <w:t>Gemäss den erwähnten Übernahmeverträgen vom 29. August 1997 verpflichtet sich die Beschwerdegegnerin, die ihr übertragenen freien Mittel der übernommenen Destinatäre als Kollektivanspruch für den Einkauf in die Zinsreserve Beitragsprimat und für die Finanzierung des Sonderkontos "Besitzstandsgarantie" zu verwenden. Der Einkauf in die Zinsreserve Beitragsprimat hat bis zur Höhe der effektiv ausgewiesenen Höhe zum Stichtag 31. Dezember 1997, jedoch maximal 15 % des Altersguthabens, zu erfolgen. Die übrigen Mittel werden dem Sonderkonto "Besitzstandsgarantie" gutgeschrieben (vgl. Ziff. 5). Vorliegend wird nicht bestritten und ergibt sich auch aus den Akten, dass diese freien Mittel in das genannte Sonderkonto sowie zum Einkauf in die Zinsreserve Beitragsprimat eingebracht wurden. Unbestritten und aktenkundig ist im Weiteren, dass die übergetretenen Destinatäre (worunter die Beschwerdeführer) in den Vorsorgeplan Beitragsprimat aufgenommen wurden, wo sie sich mit den eingebrachten Eintrittsleistungen in die reglementarischen Leistungen eingekauft haben (vgl. Bericht über die Geschäftstätigkeit 1998 [Vorakten 1/5], Jahresrechnung 1998 und Bericht der Kontrollstelle ([act. 1/6]). Dabei waren die eingetretenen Destinatäre gleich wie die bestehenden zu behandeln. Dies ergibt sich aus dem Gleichbehandlungsprinzip der Destinatäre in demselben Vorsorgeplan, welches zwar erst mit der 1. BVG-Revision ab dem 1. Januar 2006 im BVG vgl. (Art. 1 BVG i.V.m Art. 1f BVV2) verankert wurde, indes von der bisherigen Rechtsprechung und Praxis übernommen wurde (Urteil des Bundesgerichts 2A.408/2002 vom 4. Februar 2004 E. 2.2 und E. 2.4.1; AB SR 2002 1036, AB NR 2003 618; Erläuterungen des Bundesamtes für Sozialversicherungen zur BVV2, ad Art. 1f [in Mitteilungen über die berufliche Vorsorge Nr. 83 vom 16. Juni 2005 Rz 484]). Diese Voraussetzung war mit dem Einkauf der eingetretenen Destinatäre in die bestehende Zinsreserve gegeben, wurde doch, wie die Beschwerdegegnerin zu Recht geltend macht, damit sichergestellt, dass die eingetretenen Destinatäre nicht zulasten der bestehenden von der vorhandenen Reservesituation profitieren und damit deren Ansprüche verwässert würden. Dies zeigt sich ganz besonders im Jahre 2001, wo mangels Vermögensertrag die Zinsreserve für die Finanzierung der Zinsgutschriften auf den Altersguthaben im Beitragsprimat herangezogen wurde, wovon die eingetretenen Destinatäre (und damit auch die Beschwerdeführer) in gleichem Mass wie die bestehenden profitiert haben (hierzu im Einzelnen hinten E 6.3 ff.). Daher bestand für die Beschwerdeführer entgegen ihrer Ansicht (vgl. Beschwerde S. 10 Ziff. 21) auch kein Anspruch darauf, dass die eingebrachten Mittel ausschliesslich für ihre individuellen Ansprüche reserviert bleiben würden.</w:t>
      </w:r>
    </w:p>
    <w:p>
      <w:r>
        <w:rPr>
          <w:b/>
        </w:rPr>
        <w:t>E. 6.1</w:t>
      </w:r>
    </w:p>
    <w:p>
      <w:r>
        <w:t>Über die Bildung und Verwendung der fraglichen Zinsreserve (im massgebenden Jahr 2001) finden sich in den Akten keine Regelungen seitens der Beschwerdegegnerin. Wohl haben, wie die Beschwerdeführer geltend machen, die Vorsorgeeinrichtungen gemäss Art. 48e BVV2 i.V. m. Art. 65b BVG in einem Reglement Regeln zur Bildung von Rückstellungen und Schwankungsreserven festzulegen, wobei der Grundsatz der Stetigkeit zu beachten ist. Diese Vorschrift ist allerdings erst mit der 1. BVG-Revision neu aufgenommen worden und am 1. Januar 2005 in Kraft getreten, weshalb sie vorliegend nicht anwendbar ist und auch die Beschwerdegegnerin zu einer reglementarischen Festlegung nicht verpflichtet war. Vor diesem Zeitpunkt wurden Zinsreserven in der Praxis als anerkannte, nicht technische Rückstellungen zur Sicherung der Finanzierung betrachtet, welche gebildet werden, um bei ungenügenden Anlageerträgen die Verzinsung der Sparguthaben mit dem Mindestzinssatz zu gewährleisten (vgl. Jürg Brechbühl, in: Schneider/Geiser/Gächter, Handkommentar zum BVG und FZG, Bern 2010, Art. 65b BVG N. 20; ebenso BGE 131 II 514 E. 5.1 mit Hinweisen).</w:t>
      </w:r>
    </w:p>
    <w:p>
      <w:r>
        <w:rPr>
          <w:b/>
        </w:rPr>
        <w:t>E. 6.2</w:t>
      </w:r>
    </w:p>
    <w:p>
      <w:r>
        <w:t>Auch im vorliegenden Fall hatte die Beschwerdegegnerin in der Bilanz unter den Passiven eine entsprechende Zinsreserve vorgesehen. Über deren Bildung und Verwendung wurde dabei in den jeweiligen Jahresberichterstattungen (bestehend aus dem Geschäftsbericht sowie der Jahresrechnung mit Anhang) berichtet. Dementsprechend bildete sie - wie andere Positionen der Rechnungslegung - Gegenstand der jährlichen Prüfung durch die Kontrollstelle, der Y._______ AG, in ihrem Kontrollstellenbericht sowie der anerkannten Pensionsversicherungsexpertin, der Z.______ AG, in ihrem versicherungstechnischen Gutachten.</w:t>
      </w:r>
    </w:p>
    <w:p>
      <w:r>
        <w:rPr>
          <w:b/>
        </w:rPr>
        <w:t>E. 6.3</w:t>
      </w:r>
    </w:p>
    <w:p>
      <w:r>
        <w:t>Was den vorliegend beanstandeten Zeitraum 1998 - 2001 anbelangt, wird die Verwendung der Zinsreserve in der Jahresberichterstattung wie folgt dargestellt: In der im Geschäftsbericht dargestellten Mittelflussrechnung figuriert die Zinsreserve als "Zinsreserve Beitragsplan" (vgl. Geschäftsberichte 1997 - 2001). Laut den Erläuterungen in der Mittelflussrechnung 1997 (vgl. Geschäftsbericht 1997 S. 11) wird die Zinsreserve dazu benötigt, um in Jahren einer schlechten Performance die angestrebte minimale Verzinsung von 4 % finanzieren zu können. In diese Zinsreserve hätten sich sämtliche Kollektiv-Eintritte einzukaufen, damit die Ansprüche der bestehenden Mitglieder nicht verwässert würden. In den Jahresrechnungen 2000 und 2001 wird die Zinsreserve für die Sicherstellung der Verzinsung der Altersguthaben (vgl. 2000: S. 17 Ziff. 5.2; 2001: S. 17 Ziff. 2.4.2) und in der Jahresrechnung 2001 zudem für die Deckung der Negativperformance (vgl. S. 22 Ziff. 5.1) verwendet. Aus diesen Darstellungen folgt mit der Beschwerdegegnerin, dass die Zinsreserve für den Beitragsprimatplan als Reserve für die Verzinsungen dient, welche aus den Vermögenserträgen zu finanzieren sind, was von der erzielten Performance abhängig ist. Darunter werden sämtliche realisierten und nicht-realisierten Gewinne sowie Verluste auf Wertschriften und Währungen nach Abzug der Vermögensverwaltungskosten verstanden (vgl. zum Be-griff Geschäftsberichte sub Kapitel "Performance der Vermögensanlagen"). Unter solchen Zinsverpflichtungen figuriert (nicht abschliessend) die Verzinsung der Altersguthaben der Versicherten im Beitragsprimatplan: So wird gemäss Art. 20 des Reglements Beitragsprimat der Zinssatz vom Stiftungsrat unter angemessener Berücksichtigung der Anlageerträge der Pensionskasse nach Bildung der zur Sicherstellung der reglementarischen Leistungen notwendigen Rückstellungen jährlich neu festgelegt (vgl. hierzu Urteil des BVGer C-4658/2007 bzw. C-7867/2009 vom 26. Februar 2010 E. 6.2).</w:t>
      </w:r>
    </w:p>
    <w:p>
      <w:r>
        <w:rPr>
          <w:b/>
        </w:rPr>
        <w:t>E. 6.4</w:t>
      </w:r>
    </w:p>
    <w:p>
      <w:r>
        <w:t>Im Jahr 2001 hat die Beschwerdegegnerin gemäss ihrer Jahresberichterstattung keinen Vermögensertrag, sondern einen Vermögensverlust von Fr. 132'335'693.- und eine Performance von -7,6 % (im Gegensatz zum Vorjahr von + 3,2 %) des Anlagevermögens erzielt. Trotz des schlechten finanziellen Ergebnisses habe der Stiftungsrat der Beschwerdegegnerin beschlossen, die Altersguthaben im Beitragsprimat mit insgesamt 4 % zu verzinsen. Gestützt auf Art. 20 des Reglements habe er eine Verzinsung von 2,75 % sowie gestützt auf Art. 19 eine Verzinsung von 1,25 % zulasten einer in der Vergangenheit geäufneten Reserve festgelegt (vgl. Bericht über die Geschäftstätigkeit 2001 S. 4 [act. 1.1]; Anhang zur Jahresrechnung S. 22 [Erläuterungen zur Betriebsrechnung]). Die Zinsgutschrift führte laut den Darstellungen in der Mittelflussrechnung 2001 (Geschäftsbericht 2001 S. 11) sowie des versicherungstechnischen Ergebnisses 2001 im versicherungstechnischen Gutachten (S. 7) zu einem Fehlbetrag von Fr. 6,4 Mio. Zu finanzieren war zudem, wie die Beschwerdeführerin zu Recht geltend macht, die negative Performance, ging es doch darum, eine negative Verzinsung der Altersguthaben zu verhindern. Dieser Auffassung scheinen sich auch die Beschwerdeführer anzuschliessen, machen sie doch in ihrer Replik (S. 9 Abschnitt 3) zutreffenderweise geltend, die Zinsreserve dürfe nur zum Ausgleich eines ungenügenden Zinsertrags auf dem Anlagevermögen verwendet werden. Dass die Beschwerdegegnerin im Jahr 2001 für die Finanzierung dieses Fehlbetrags die Zinsreserve im Sinne einer Schwankungsreserve herangezogen hat, ist daher grundsätzlich nicht zu beanstanden.</w:t>
      </w:r>
    </w:p>
    <w:p>
      <w:r>
        <w:rPr>
          <w:b/>
        </w:rPr>
        <w:t>E. 6.5</w:t>
      </w:r>
    </w:p>
    <w:p>
      <w:r>
        <w:t>Gemäss der Jahresberichterstattung 2001 belief sich die Entnahme aus der Zinsreserve auf Fr. 25'766'790. Nach den Beschwerdeführern lasse sich eine Entnahme höchstens im Umfang von Fr. 2'089'933 rechtfertigen (act. 1 S. 10). Demgegenüber seien nach ihrer Vermutung die weitergehenden Entnahmen für die Ausfinanzierung anwartschaftlicher Ansprüche aus dem Leistungsprimatplan verwendet worden, was zweckwidrig sei. Die Einwände der Beschwerdeführer finden indes weder in der Berichterstattung 2001 der Beschwerdegegnerin noch in den Darstellungen bzw. Beurteilungen der Pensionsversicherungsexpertin in ihrem versicherungstechnischen Gutachterin eine Grundlage: Nach dem versicherungstechnischen Ergebnis ist für die Verzinsung der Altersguthaben ein Bedarf von Fr. 6.4 Mio ausgewiesen. Hinzu kommt der Bedarf für die Verzinsung der Deckungskapitalien für die laufenden Renten im Beitragsprimat, welche im Gesamtbedarf von Fr. 42.5 Mio enthalten sind und für das Beitragsprimat Fr. 1.2 Mio. ausmachen dürften (technischer Zins von 4,5 % auf das Deckungskapital der laufenden Renten im Beitragsprimat von Fr. 27,7 Mio). Diese Verpflichtungen hätten laut der Gutachterin aus dem Vermögensertrag finanziert werden müssen. Da statt dessen ein Vermögensverlust sowie eine negative Performance realisiert wurden, war dieser Fehlbetrag ebenfalls anteilsmässig aus der Zinsreserve (zusammen mit der Aktiven-Schwankungsreserve) zu finanzieren. Unter diesem Blickwinkel ist die dahingehende Darstellung der Beschwerdegegnerin über die Verwendung der Zinsreserve, nämlich Entnahme von Fr. 25,3 Mio (aufgrund der negativen Performance und der Zinsgutschrift von 2,75 %) zuzüglich Zinsbedarf für die Verzinsung der Deckungskapitalien von Fr. 1,3 Mio. und somit eine Entnahme von Fr. 26,6 Mio. plausibel (vgl. Beschwerdeantwort S. 7 und eingehend in der Duplik im vorinstanzlichen Verfahren vom 1. Dezember 2003 S. 5).</w:t>
      </w:r>
    </w:p>
    <w:p>
      <w:r>
        <w:rPr>
          <w:b/>
        </w:rPr>
        <w:t>E. 6.6</w:t>
      </w:r>
    </w:p>
    <w:p>
      <w:r>
        <w:t>Nach dem Gesagten ergeben sich entgegen den Beschwerdeführern keine Zweifel darüber, dass die Zinsreserve zweckkonform verwendet worden ist. Insbesondere ergeben sich keine Anhaltspunkte dafür, dass diese nicht ausschliesslich für die Destinatäre des Beitragsprimatplans verwendet worden ist, weshalb auch keine Ungleichbehandlung der Destinatäre vorliegt. Die korrekte Verwendung der Zinsreserve wird im Übrigen weder von der Gutachterin noch von der Kontrollstelle bezweifelt. Dementsprechend lässt sich auch nicht die Beurteilung der Vorinstanz in ihrer angefochtenen Verfügung beanstanden (vgl. E. 7), welche der Beschwerdegegnerin gefolgt ist. Ebenso wenig lässt sich ihr angefochtener Beschluss beanstanden, mit welchem sie die Aufsichtsbeschwerde abgewiesen hat. Auch im vorliegenden Verfahren erweisen sich die Rügen der Beschwerdeführer als unbegründet, sodass ihre Beschwerde, soweit darauf einzutreten ist, abzuweisen ist.</w:t>
      </w:r>
    </w:p>
    <w:p>
      <w:r>
        <w:rPr>
          <w:b/>
        </w:rPr>
        <w:t>E. 7.1</w:t>
      </w:r>
    </w:p>
    <w:p>
      <w:r>
        <w:t>Die Vorinstanz hat den Beschwerdeführern gestützt auf § 4 Abs. 1 Bst. h der kantonalen Verordnung über die berufliche Vorsorge und das Stiftungswesen (ZH-Lex 831.4) eine Gebühr in der Höhe von Fr. 4'000.- auferlegt. Nach dieser Bestimmung erhebt das Amt für aufsichtsrechtliche Massnahmen und besondere Entscheide Gebühren innerhalb eines Rahmens von Fr. 500.- bis 5'000.-. Dieser Tarif wurde mit der Verordnungsänderung des Regierungsrates des Kantons Zürich vom 28. Januar 2004 angehoben und per 1. März 2004 ohne Übergangsordnung in Kraft gesetzt. Die Beschwerdeführer wenden sich gegen die Höhe der Gebühr und machen geltend, diese Tarifänderung sei im Verlauf des hängigen Beschwerdeverfahrens vor der Vorinstanz in Kraft getreten und daher für sie nicht anwendbar. Massgebend sei der - wesentlich tiefere - Tarif nach altem Recht, welcher im Zeitpunkt der Erhebung ihrer Beschwerde am 6. Dezember 2002 gültig gewesen sei und eine Maximalgebühr von Fr. 2'500.- vorgesehen habe. Auf dieser Grundlage hätten sie die Kostenfolgen bei einem allfälligen Unterliegen eingeschätzt und die erfolgte Änderung auch nicht vorhersehen können. Auch hätten sie nicht mit einer derart erheblichen Anhebung des Gebührenrahmens rechnen können.</w:t>
      </w:r>
    </w:p>
    <w:p>
      <w:r>
        <w:rPr>
          <w:b/>
        </w:rPr>
        <w:t>E. 7.1.1</w:t>
      </w:r>
    </w:p>
    <w:p>
      <w:r>
        <w:t>Nach bundesgerichtlicher Rechtsprechung und Lehre ist die Rechtmässigkeit eines Verwaltungsakts beim Fehlen einer Übergangsordnung grundsätzlich nach der Rechtslage zur Zeit seines Erlasses zu beurteilen (BGE 127 II 209 E. 2b, 126 II 522, E. 3b/aa; 125 II 591, E. 5e/aa; Ulrich Häfelin/Georg Müller/Felix Uhlmann, Allgemeines Verwaltungsrecht, 5. Aufl., Zürich/Basel/Genf 2006, Rz. 325 ff.; Pierre Tschannen/Ulrich Zimmerli, Allgemeines Verwaltungsrecht, 2. Aufl., Bern 2005, § 24 Rz. 21). Bei Rechtsänderungen gilt, dass Verfahrensvorschriften grundsätzlich mit dem Tag ihres Inkrafttretens sofort und uneingeschränkt anwendbar sind. Dieser intertemporale Grundsatz gilt dort nicht, wo hinsichtlich des verfahrensrechtlichen Systems zwischen altem und neuem Recht keine Kontinuität besteht und mit dem neuen Recht eine grundlegend neue Verfahrensordnung geschaffen worden ist (BGE 130 V 1 E. 3.2.). Im vorliegenden Fall regelt die genannte kantonale Bestimmung die Verfahrenskosten, welche eine Kausalabgabe, genauer eine Verwaltungsgebühr, darstellen (Michael Beusch, in: Auer/Müller/Schindler (Hrsg.), Kommentar zum Bundesgesetz über das Verwaltungsverfahren (VwVG), Zürich 2008, Rz. 2 und 3 zu Art. 63 VwVG) und daher dem Verfahrensrecht zuzurechnen sind. Mit der genannten Änderung wurde der bestehende Gebührenrahmen angepasst und nicht eine grundlegend neue Verfahrensordnung geschaffen. Die Anwendung des neuen Rechts durch die Vorinstanz lässt sich daher nicht beanstanden.</w:t>
      </w:r>
    </w:p>
    <w:p>
      <w:r>
        <w:rPr>
          <w:b/>
        </w:rPr>
        <w:t>E. 7.1.2</w:t>
      </w:r>
    </w:p>
    <w:p>
      <w:r>
        <w:t>Nichts zu ihren Gunsten können die Beschwerdeführer aus dem weiteren Einwand ableiten, die Vorinstanz verwende für ihre Gebührenrechnungen noch jahrelang Formulare, auf denen der alte Gebührenrahmen figuriere, wie aus der ins Recht gelegten Gebührenrechnung an den Beschwerdeführer 11 in einem anderen Verfahren mit Mahndatum vom 10. September 2007 hervorgehe. Offensichtlich handelt es sich hierbei um das Beschwerdeverfahren C-7867/2009, wo dieselbe Gebührenrechnung aktenkundig ist (vgl. act. 1/2 in diesem Verfahren). Dort stützte sich die Gebührenrechnung auf die angefochtene Verfügung vom 6. Juni 2007. Davon kann auch vorliegend ausgegangen werden. In der angefochtenen Verfügung hat die Vorinstanz die Anwendung des neuen Rechts korrekt dargelegt (E. 10), sodass für die Beschwerdeführer ersichtlich war, dass es sich in der Gebührenrechnung - welche im Übrigen keine Verfügung darstellt - um einen Kanzleifehler handelt. Sie durften deshalb nicht darauf vertrauen, nach alter Gebührenordnung beurteilt zu werden.</w:t>
      </w:r>
    </w:p>
    <w:p>
      <w:r>
        <w:rPr>
          <w:b/>
        </w:rPr>
        <w:t>E. 7.2</w:t>
      </w:r>
    </w:p>
    <w:p>
      <w:r>
        <w:t>Hinsichtlich der den Beschwerdeführern auferlegten Gebühr lässt sich die angefochtene Verfügung somit nicht beanstanden, weshalb die Beschwerde auch in diesem Punkt (Subeventualantrag 1d) abzuweisen ist.</w:t>
      </w:r>
    </w:p>
    <w:p>
      <w:r>
        <w:rPr>
          <w:b/>
        </w:rPr>
        <w:t>E. 8.1</w:t>
      </w:r>
    </w:p>
    <w:p>
      <w:r>
        <w:t>Entsprechend dem Ausgang des Verfahrens werden die Beschwerdeführer gemäss Art. 63 Abs. 1 VwVG kostenpflichtig. Die Verfahrenskosten sind gemäss dem Reglement vom 21. Februar 2008 über die Kosten und Entschädigungen vor dem Bundesverwaltungsgericht (VGKE, SR 173.320.2) zu bestimmen. Sie werden auf Fr. 4'000.-- festgelegt und mit dem geleisteten Kostenvorschuss in Höhe von Fr. 20'000.- verrechnet, und die Restanz von Fr. 16'000.- wird nach Eintritt der Rechtskraft des vorliegenden Urteils auf ein von ihnen zu bezeichnendes Konto zurückerstattet. 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 Dasselbe gilt für die Beschwerdegegnerin; denn das Eidgenössische Versicherungsgericht (heute Bundesgericht) hat mit Urteil vom 3. April 2000 erwogen, dass Trägerinnen oder Versicherer der beruflichen Vorsorge grundsätzlich keinen Anspruch auf Parteientschädigung haben (BGE 126 V 143 E. 4b), eine Praxis, welche das Bundesverwaltungsgericht (sowie früher die Eidgenössische Beschwerdekommission BVG) in ständiger Rechtsprechung auch im Rahmen von Aufsichtsstreitigkeiten analog anwendet (vgl. Urteil des Bundesverwaltungsgerichts C-3914/2007 vom 23. April 2009 E. 6.2). Im vorliegenden Fall gibt es keinen Grund, von dieser Regel abzuweichen, sodass der Beschwerdegegnerin keine Parteientschädigung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