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C-5678/2007 vom 5. November 2007</w:t>
      </w:r>
    </w:p>
    <w:p>
      <w:r>
        <w:t>Bundesverwaltungsgericht, 2007-11-05, DE</w:t>
      </w:r>
    </w:p>
    <w:p>
      <w:r>
        <w:rPr>
          <w:b/>
        </w:rPr>
        <w:t xml:space="preserve">Quelle: </w:t>
      </w:r>
      <w:r>
        <w:t>https://mcp.opencaselaw.ch/entscheid/bvger_C-5678_2007</w:t>
      </w:r>
    </w:p>
    <w:p>
      <w:r>
        <w:t>FR: TAF C-5678/2007 du 5 novembre 2007</w:t>
      </w:r>
    </w:p>
    <w:p>
      <w:r>
        <w:t>IT: TAF C-5678/2007 del 5 novembre 2007</w:t>
      </w:r>
    </w:p>
    <w:p>
      <w:pPr>
        <w:pStyle w:val="Heading2"/>
      </w:pPr>
      <w:r>
        <w:t>Regeste</w:t>
      </w:r>
    </w:p>
    <w:p>
      <w:r>
        <w:t>Ausdehnung der kantonalen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700.-- werden dem Beschwerdeführer auferlegt. Sie werden mit dem geleisteten Kostenvorschuss von Fr. 700.- verrechnet.</w:t>
      </w:r>
    </w:p>
    <w:p>
      <w:r>
        <w:rPr>
          <w:b/>
        </w:rPr>
        <w:t>E. 3</w:t>
      </w:r>
    </w:p>
    <w:p>
      <w:r>
        <w:t>Dieses Urteil geht an: - den Beschwerdeführer - die Vorinstanz Der Kammerpräsident: Der Gerichtsschreiber: Antonio Imoberdorf Julius Longauer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