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C-5676/2007 vom 30. April 2009</w:t>
      </w:r>
    </w:p>
    <w:p>
      <w:r>
        <w:t>Bundesverwaltungsgericht, 2009-04-30, DE</w:t>
      </w:r>
    </w:p>
    <w:p>
      <w:r>
        <w:rPr>
          <w:b/>
        </w:rPr>
        <w:t xml:space="preserve">Quelle: </w:t>
      </w:r>
      <w:r>
        <w:t>https://mcp.opencaselaw.ch/entscheid/bvger_C-5676_2007</w:t>
      </w:r>
    </w:p>
    <w:p>
      <w:r>
        <w:t>FR: TAF C-5676/2007 du 30 avril 2009</w:t>
      </w:r>
    </w:p>
    <w:p>
      <w:r>
        <w:t>IT: TAF C-5676/2007 del 30 aprile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gestützt auf die Verordnung über die Ausstellung von Reisedokumenten für eine ausländische Person. Das vorliegende Urteil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 sind aufgrund von Art. 48 Abs. 1 VwVG zur Beschwerde legitimiert. Auf das frist- und formgerecht eingereichte Rechtsmittel ist einzutreten (Art. 50 - 52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Gesuch vor Inkrafttreten des AuG eingereicht wurde, ist gemäss Art. 126 Abs. 1 AuG auf das bisherige Recht (d.h. das ANAG und die darauf abgestützten Verordnungen) abzustellen. Vorliegend ist dabei insbesondere die Verordnung vom 27. Oktober 2004 über die Ausstellung von Reisedokumenten für ausländische Personen (RDV, SR 143.5), deren hier relevante Bestimmungen mit dem Inkrafttreten des AuG allerdings keine Änderungen erfahren haben.</w:t>
      </w:r>
    </w:p>
    <w:p>
      <w:r>
        <w:rPr>
          <w:b/>
        </w:rPr>
        <w:t>E. 3</w:t>
      </w:r>
    </w:p>
    <w:p>
      <w:r>
        <w:t>Mit der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4.1</w:t>
      </w:r>
    </w:p>
    <w:p>
      <w:r>
        <w:t>Gemäss Art. 4 Abs. 1 RDV haben ausländische Personen einen Anspruch auf die Ausstellung eines Passes für eine ausländische Person, wenn sie nach dem Übereinkommen vom 28. September 1954 über die Rechtsstellung der Staatenlosen als staatenlos anerkannt sind (Bst. a) oder wenn sie schriftenlos sind und eine Niederlassungsbewilligung besitzen (Bst. b). Einer schriftenlosen ausländischen Person mit Jahresaufenthaltsbewilligung kann ein Pass für eine ausländische Person abgegeben werden (Art. 4 Abs. 2 RDV).</w:t>
      </w:r>
    </w:p>
    <w:p>
      <w:r>
        <w:rPr>
          <w:b/>
        </w:rPr>
        <w:t>E. 4.2</w:t>
      </w:r>
    </w:p>
    <w:p>
      <w:r>
        <w:t>Als schriftenlos gilt gemäss Art. 7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Reisedokumentes bemüht (Bst. a), oder für welche die Beschaffung von Reisedokumenten unmöglich ist (Bst. b). Die Schriftenlosigkeit wird im Rahmen der Gesuchsprüfung durch das BFM festgestellt (Art. 7 Abs. 3 RDV). Gemäss der bundesgerichtlichen Rechtsprechung muss die Unmöglichkeit bzw. die Unzumutbarkeit der Beschaffung der Reisedokumente auf objektiven Gründen basieren; bloss subjektive Gründe genügen für die Schriftenlosigkeit nicht (vgl. das Urteil des Bundesgerichts 2A.335/2006 vom 18. Oktober 2006, E. 2.1 mit Hinweis).</w:t>
      </w:r>
    </w:p>
    <w:p>
      <w:r>
        <w:rPr>
          <w:b/>
        </w:rPr>
        <w:t>E. 5</w:t>
      </w:r>
    </w:p>
    <w:p>
      <w:r>
        <w:t>Die Voraussetzungen für das Vorliegen eines Anspruches auf die Ausstellung eines Passes für eine ausländische Person gemäss Art. 4 Abs. 1 RDV sind weder gegeben, noch wird dies geltend gemacht. Gemäss Art. 4 Abs. 2 RDV kann im Rahmen des freien (pflichtgemässen) Ermessens einer ausländischen Person, die über eine Jahresaufenthaltsbewilligung verfügt und die gemäss Art. 7 RDV schriftenlos ist, ein Reisedokument ausgestellt werden. Demnach ist zu prüfen, ob die Vorinstanz die Schriftenlosigkeit des Beschwerdeführers zu Recht verneint und es als möglich und zumutbar erachtet hat, dass er die kubanische Staatsangehörigkeit erlangt, um so die Grundlage für die Ausstellung eines kubanischen Passes zu schaffen.</w:t>
      </w:r>
    </w:p>
    <w:p>
      <w:r>
        <w:rPr>
          <w:b/>
        </w:rPr>
        <w:t>E. 6.1</w:t>
      </w:r>
    </w:p>
    <w:p>
      <w:r>
        <w:t>Aus den Akten geht hervor, dass der Beschwerdeführer in der Schweiz geboren ist. Seine Eltern sind kubanische Staatsbürger, die mit einer Aufenthaltsbewilligung in der Schweiz leben. Gemäss Auskunft der kubanischen Botschaft in Bern, welche die Beschwerdeführer zu den Akten gegeben haben, muss der Beschwerdeführer in Kuba Wohnsitz nehmen ("avecindarse"), damit er die kubanische Staatsbürgerschaft erlangen und ihm in der Folge ein kubanischer Pass ausgestellt werden kann. Diese Regelung findet sich sowohl in der kubanischen Verfassung (Art. 29 Bst. c; vgl. ALEXANDER BERGMANN/MURAD FERID/DIETER HENRICH [Hrsg.], Internationales Ehe- und Kindschaftsrecht mit Staatsangehörigkeitsrecht, Frankfurt a.M., Loseblattsammlung: Kuba, Stand Februar 2004, S. 7) als auch in Art. 3 Bst. b des Reglamento de Ciudadanía vom 4. Februar 1944 (Dekret Nr. 358; im Internet unter http://embacu.cubaminrex.cu/Default.aspx?tabid=3994, besucht am 9. April 2009). Der in der Schweiz geborene Beschwerdeführer muss somit nach Kuba reisen und dort Wohnsitz nehmen, um ein heimatliches Reisedokument zu erhalten. Zur Zeit verfügt er offenbar über keine gültigen Reisedokumente, da seine kubanische Staatsangehörigkeit (noch) nicht anerkannt ist, und er auch sonst über keine Staatsangehörigkeit verfügt, aufgrund derer ihm Reisedokumente ausgestellt werden könnten.</w:t>
      </w:r>
    </w:p>
    <w:p>
      <w:r>
        <w:rPr>
          <w:b/>
        </w:rPr>
        <w:t>E. 6.2</w:t>
      </w:r>
    </w:p>
    <w:p>
      <w:r>
        <w:t>Der Beschwerdeführer macht geltend, Voraussetzung für die Erlangung der kubanischen Staatsbürgerschaft sei die Wohnsitznahme in Kuba. Diese Bedingung könne er jedoch nicht erfüllen, da er ohne Reisedokument nicht nach Kuba reisen könne. Die Vorinstanz bestreitet die von den Beschwerdeführern dargelegten Voraussetzungen zur Erlangung der kubanischen Staatsbürgerschaft nicht, wendet in ihrer Vernehmlassung vom 5. November 2007 jedoch ein, dass die Eltern bei den kubanischen Behörden um ein Ersatzreisepapier, etwa ein Laissez-passer, nachzusuchen hätten, damit die gesetzlichen Anforderungen an die Erlangung der kubanischen Staatsbürgerschaft erfüllen werden können. Es gebe keinen Nachweis, dass die Ausstellung eines solchen Papiers verweigert werde. Diese Auffassung ist zutreffend. Zwar ist es für den Beschwerdeführer nicht möglich, einen kubanischen Pass zu erlangen, bevor er nicht die Voraussetzungen für die Eintragung der kubanischen Staatsbürgerschaft erfüllt hat; diese Anforderungen kann er nach Auskunft der kubanischen Botschaft nur mittels Wohnsitznahme in Kuba erfüllen. Dafür benötigt er ein Reisedokument, welches für mindestens eine Reise von der Schweiz nach Kuba gültig ist. In diesem Zusammenhang ist jedoch festzuhalten, dass es an den kubanischen Behörden ist, dem Beschwerdeführer die für die Erlangung der kubanischen Staatsbürgerschaft notwendige Einreise zu ermöglichen. Aus den Akten geht nicht hervor, dass diese Frage zwischen der kubanischen Vertretung in der Schweiz und der Beschwerdeführerin erörtert worden wäre, geschweige denn, dass die Ausstellung eines Reisedokumentes zur einmaligen Einreise verweigert worden wäre.</w:t>
      </w:r>
    </w:p>
    <w:p>
      <w:r>
        <w:rPr>
          <w:b/>
        </w:rPr>
        <w:t>E. 6.3</w:t>
      </w:r>
    </w:p>
    <w:p>
      <w:r>
        <w:t>Zusammenfassend ist festzuhalten, dass zum heutigen Zeitpunkt keine objektiven Gründe vorliegen, aufgrund derer der Beschwerdeführer als schriftenlos im Sinne von Art. 7 Abs. 1 RDV anzusehen wäre. Insbesondere ist nicht nachgewiesen, dass die kubanischen Behörden die Ausstellung eines ersatzweisen Reisepapiers verweigern, so dass nicht davon ausgegangen werden kann, die Erlangung eines heimatlichen Reisedokumentes sei für den Beschwerdeführer unmöglich im Sinne von Art. 7 Abs. 1 Bst. b RDV (vgl. das Urteil des Bundesgerichts 2A.658/2006 vom 10. Januar 2007 E. 2.4). Die Vorinstanz hat die Ausstellung eines Passes für eine ausländische Person deshalb zu Recht verweigert (Art. 49 VwVG). Die Beschwerde ist demzufolge abzuweisen.</w:t>
      </w:r>
    </w:p>
    <w:p>
      <w:r>
        <w:rPr>
          <w:b/>
        </w:rPr>
        <w:t>E. 7</w:t>
      </w:r>
    </w:p>
    <w:p>
      <w:r>
        <w:t>Bei diesem Ausgang des Verfahrens sind die Kosten den Beschwerdeführern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