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C-5656/2009 vom 2. Februar 2010</w:t>
      </w:r>
    </w:p>
    <w:p>
      <w:r>
        <w:t>Bundesverwaltungsgericht, 2010-02-02, DE</w:t>
      </w:r>
    </w:p>
    <w:p>
      <w:r>
        <w:rPr>
          <w:b/>
        </w:rPr>
        <w:t xml:space="preserve">Quelle: </w:t>
      </w:r>
      <w:r>
        <w:t>https://mcp.opencaselaw.ch/entscheid/bvger_C-5656_2009</w:t>
      </w:r>
    </w:p>
    <w:p>
      <w:r>
        <w:t>FR: TAF C-5656/2009 du 2 février 2010</w:t>
      </w:r>
    </w:p>
    <w:p>
      <w:r>
        <w:t>IT: TAF C-5656/2009 del 2 febbraio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der Gesuchsteller der Visumpflicht.</w:t>
      </w:r>
    </w:p>
    <w:p>
      <w:r>
        <w:rPr>
          <w:b/>
        </w:rPr>
        <w:t>E. 6.1</w:t>
      </w:r>
    </w:p>
    <w:p>
      <w:r>
        <w:t>Vorliegend ist zu überprüfen, ob die Vorinstanz unter Berücksichtigung der Verhältnisse im Herkunftsland und der persönlichen Lebensumstände einen ermessensfehlerfreien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6.2</w:t>
      </w:r>
    </w:p>
    <w:p>
      <w:r>
        <w:t>Seitdem die ghanaische Regierung Anfang der 1990er Jahre einen tiefgreifenden wirtschaftlichen und gesellschaftlichen Reformprozess eingeleitet hat, hat sich in diesem Land eine belastbare und stabile Demokratie entwickelt. Die Wirtschaft Ghanas hat sich zunehmend erholt und wächst seit 2003 kontinuierlich. Das Wirtschaftswachstum betrug im Jahre 2008 7,3 %, ist jedoch im ersten Halbjahr 2009 unter 5 % gefallen. Trotz dieser mehrheitlich positiven wirtschaftlichen Entwicklung der letzten Jahre leben mehr als 40 % der Bevölkerung Ghanas nach wie vor in grosser Armut; das Pro-Kopf-Bruttoinlandprodukt betrug denn auch im Jahr 2008 lediglich 690 US-Dollar (vgl. Länderinformationen auf der Website des deutschen Bundesministeriums für wirtschaftliche Entwicklung und Zusammenarbeit [BMZ] (&lt;http://www.bmz.de&gt;, Länder und Regionen &gt; Partnerländer &gt; Ghana, besucht im Januar 2010) bzw. wirtschaftliche Indizes auf der Website des Auswärtigen Amtes (&lt;http://www.auswaertiges-amt.de&gt;, Länder- und Reiseinformationen &gt; Ghana &gt; Wirtschaft, Stand Oktober 2009, besucht im Januar 2010). Gemäss dem vom Entwicklungsprogramm der Vereinten Nationen (United Nations Development Programme, UNDP) berechneten "Human Poverty Index" rangiert Ghana auf einer Liste von 135 Ländern denn auch lediglich auf dem 89. Rang (vgl. Human Development Report 2009 auf der Website des UNDP, &lt;http://www.undp.org&gt;, Publications &gt; Human Development Reports &gt; Reports &gt; Country Factsheets &gt; Ghana (Human poverty: focusing on the most deprived in multiple dimensions of poverty: Table 2), besucht im Januar 2010). Eine Folge dieser Situation ist eine anhaltend hohe Emigration ghanaischer Staatsangehöriger, nicht zuletzt nach Nordamerika und Europa.</w:t>
      </w:r>
    </w:p>
    <w:p>
      <w:r>
        <w:rPr>
          <w:b/>
        </w:rPr>
        <w:t>E. 6.3</w:t>
      </w:r>
    </w:p>
    <w:p>
      <w:r>
        <w:t>In Anbetracht der vorerwähnten Verhältnisse in Ghana und unter Berücksichtigung der Tatsache, dass die Bereitschaft zur Emigration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in der Herkunftsregion auf eine nicht hinreichend gesicherte Wiederausreise zu schliessen. Die vorerwähnten Verhältnisse entbinden die Vorinstanz nicht von einer einzelfallbezogenen Beurteilung. Namentlich können berufliche, gesellschaftliche oder familiäre Verpflichtungen die Prognose einer anstandslosen Wiederausreise begünstigen.</w:t>
      </w:r>
    </w:p>
    <w:p>
      <w:r>
        <w:rPr>
          <w:b/>
        </w:rPr>
        <w:t>E. 7.1</w:t>
      </w:r>
    </w:p>
    <w:p>
      <w:r>
        <w:t>Beim Gesuchsteller handelt es sich um einen 42-jährigen, ledigen Mann, der zurzeit in Teshie-Nungua (Ghana) in einer Mietwohnung lebt. Gemäss Akten obliegen ihm keine familiären Verpflichtungen (wie insbesondere gegenüber eigenen Kindern); über seine allenfalls bestehenden familiären bzw. verwandtschaftlichen Verhältnisse im Herkunftsland ist nichts bekannt. Der Gesuchsteller war noch nie in der Schweiz und erhielt bisher auch noch nie ein Schengen-Visum ausgestellt. Er hat jedoch bereits zum dritten Mal (seit 1. Juni 2007) einen Visumsantrag um Bewilligung der Einreise bei der Schweizerischen Botschaft in Accra gestellt, der zum wiederholten Mal abgelehnt worden ist. Aus diesen Umständen sowie der Beurteilung der Auslandvertretung kann jedenfalls nicht der Schluss gezogen werden, für den Gesuchsteller beständen in seinem Heimatland besondere Verantwortlichkeiten, die besondere Gewähr für eine Rückkehr bieten würden. Im Übrigen hat der Gesuchsteller bei der Schweizerischen Vertretung keinen überzeugenden Eindruck hinterlassen; seine angegebenen Gründe für den Besuch in der Schweiz erschienen als wenig glaubhaft. Dem in diesem Zusammenhang gestellten Antrag der Beschwerdeführerin auf richterliche Anweisung der Schweizer Botschaft, ihre Stellungnahme vom 6. Mai 2009 näher zu erläutern, ist in antizipierter Beweiswürdigung (BGE 131 I 153 E. 3) nicht stattzugeben. Zum einen ist eine Verwechslung auszuschliessen; zum anderen ist die fragliche Stellungnahme für den Verfahrensausgang nicht von ausschlaggebender Bedeutung.</w:t>
      </w:r>
    </w:p>
    <w:p>
      <w:r>
        <w:rPr>
          <w:b/>
        </w:rPr>
        <w:t>E. 7.2</w:t>
      </w:r>
    </w:p>
    <w:p>
      <w:r>
        <w:t>Der Gesuchsteller gibt in seinem Visumantrag an, "Assistant" zu sein. Aus den weiteren Akten ergibt sich, dass er von der L._______-Unternehmung als Projektleiter in seinem Heimatland angestellt ist und von einem sehr bescheidenen Einkommen lebt. Auf jeden Fall liegen keinerlei Fakten vor, die einen Rückschluss erlaubten, der Gesuchsteller befinde sich in vorteilhaften und stabilen wirtschaftlichen Verhältnissen, die ihn nachhaltig davon abzuhalten vermöchten, eine Emigration in die Schweiz in Erwägung zu ziehen.</w:t>
      </w:r>
    </w:p>
    <w:p>
      <w:r>
        <w:rPr>
          <w:b/>
        </w:rPr>
        <w:t>E. 7.3</w:t>
      </w:r>
    </w:p>
    <w:p>
      <w:r>
        <w:t>An dieser Risikoeinschätzung vermögen weder die diversen von der Beschwerdeführerin eingereichten Belege betreffend ihre persönliche finanzielle Situation bzw. den L._______ noch ihr Verpflichtungsschreiben vom 5. Juni 2009 und ihre Garantieerklärung vom 8. Juni 2009 etwas zu ändern. Die Integrität der Beschwerdeführerin in ihrer Eigenschaft als Gastgeberin wird nicht in Zweifel gezogen. Indessen sind bei der Abwägung des Risikos einer nicht fristgerechten Wiederausreise nicht so sehr die Einstellung und Absichten der Gastgeber, sondern in erster Linie das mögliche Verhalten des Gastes selbst von Bedeutung. Nur Letzterer ist in der Lage, hinreichend Gewähr für eine fristgerechte und anstandslose Wiederausreise zu bieten. Der Gastgeber kann zwar für gewisse finanzielle Risiken Garantie leisten, nicht aber - mangels rechtlicher und faktischer Durchsetzbarkeit - für ein bestimmtes Verhalten des Gastes (vgl. anstelle vieler: Urteil des Bundesverwaltungsgerichts C-6950/2007 vom 7. November 2008 E. 8).</w:t>
      </w:r>
    </w:p>
    <w:p>
      <w:r>
        <w:rPr>
          <w:b/>
        </w:rPr>
        <w:t>E. 8</w:t>
      </w:r>
    </w:p>
    <w:p>
      <w:r>
        <w:t>Im Übrigen sei erwähnt, dass das Bundesverwaltungsgericht bereits einmal über einen abgewiesenen Visumantrag des Gesuchstellers letztinstanzlich entschieden hat (vgl. Urteil des Bundesverwaltungsgericht C-6229/2007 vom 31. Januar 2008). Am damals beurteilten Sachverhalt hat sich seither nichts Wesentliches geändert (zumal sich das Projekt noch immer in der Planungsphase befindet). Schliesslich steht auch der Hinweis des Parteivertreters auf Art. 30 Abs. 1 Bst. f und g AuG (vgl. Ziff. 9 in der Beschwerdeschrift) in keinem Zusammenhang mit dem vorliegenden Fall und ist somit ohne Belang.</w:t>
      </w:r>
    </w:p>
    <w:p>
      <w:r>
        <w:rPr>
          <w:b/>
        </w:rPr>
        <w:t>E. 9</w:t>
      </w:r>
    </w:p>
    <w:p>
      <w:r>
        <w:t>Folglich ist nicht zu beanstanden, dass die Vorinstanz das öffentliche Interesse sowie die Beachtung der geltenden Bestimmungen entsprechend gewichtete und dem Gesuchsteller die Einreise verweigerte. Da es keinen Anspruch auf die Erteilung eines Visums gibt (vgl. vorne Ziff. 3), liegt auch kein Verstoss gegen irgendwelche Grundrechte des Gesuchstellers vor. Die angefochtene Verfügung verletzt daher das Bundesrecht nicht. Soweit für das vorliegende Urteil massgebend, wurde der rechtserhebliche Sachverhalt richtig und vollständig festgestellt, und die Vorinstanz hat das ihr zustehende Ermessen pflichtgemäss ausgeübt (vgl. Art. 49 VwVG). Die Beschwerde ist somit abzuweisen.</w:t>
      </w:r>
    </w:p>
    <w:p>
      <w:r>
        <w:rPr>
          <w:b/>
        </w:rPr>
        <w:t>E. 10</w:t>
      </w:r>
    </w:p>
    <w:p>
      <w:r>
        <w:t>Entsprechend dem Ausgang des Verfahrens wird die unterliegende Beschwerdeführerin kostenpflichtig (Art. 63 Abs. 1 VwVG). Die Verfah-renskosten sind auf Fr. 600.-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