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C-5644/2018 vom 27. Mai 2019</w:t>
      </w:r>
    </w:p>
    <w:p>
      <w:r>
        <w:t>Bundesverwaltungsgericht, 2019-05-27, DE</w:t>
      </w:r>
    </w:p>
    <w:p>
      <w:r>
        <w:rPr>
          <w:b/>
        </w:rPr>
        <w:t xml:space="preserve">Quelle: </w:t>
      </w:r>
      <w:r>
        <w:t>https://mcp.opencaselaw.ch/entscheid/bvger_C-5644_2018</w:t>
      </w:r>
    </w:p>
    <w:p>
      <w:r>
        <w:t>FR: TAF C-5644/2018 du 27 mai 2019</w:t>
      </w:r>
    </w:p>
    <w:p>
      <w:r>
        <w:t>IT: TAF C-5644/2018 del 27 maggio 2019</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22. August 2018 (act. 54) ist der Beschwerdeführer berührt und hat ein schutzwürdiges Interesse an deren Aufhebung oder Änderung (vgl. Art. 59 ATSG). Nachdem auch der Kostenvorschuss in der Höhe von Fr. 800.- fristgerecht geleistet worden ist,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der Vorinstanz vom 22. August 2018 (act. 54), mit welcher diese bei einem IV-Grad von 8 % den Rentenanspruch des Beschwerdeführers abgewiesen hat. Streitig und zu prüfen ist die Rechtmässigkeit dieser Verfügung.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gesetzlichen Normen und Rechtsgrundsätze darzustellen.</w:t>
      </w:r>
    </w:p>
    <w:p>
      <w:r>
        <w:rPr>
          <w:b/>
        </w:rPr>
        <w:t>E. 2.1</w:t>
      </w:r>
    </w:p>
    <w:p>
      <w:r>
        <w:t>Der Beschwerdeführer ist Schweizer Staatsbürger und wohnt in der Türkei (vgl. Bst. A. hiervor), sodass vorliegend in erster Linie Schweizer Recht anwendbar ist. Ergänzend ist darauf hinzuweisen, dass zwischen der Schweiz und der Republik Türkei am 1. Mai 1969 das Abkommen über soziale Sicherheit (SR 0.831.109.763.1; im Folgenden: Abkommen Schweiz-Türkei) und am 14. Januar 1970 die dazugehörige Verwaltungsvereinbarung (SR 0.831.109.763.11) abgeschlossen worden sind.</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22. August 2018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36; vgl. Bst. A. hiervor), so dass die Voraussetzung der Mindestbeitragsdauer gemäss Art. 36 Abs. 1 IVG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(vgl. Art. 2 und 3 in Verbindung mit Art. 10 des Abkommens Schweiz-Türkei). Nach der Rechtsprechung des Bundesgerichts (bis Ende Dezember 2006: Eidgenössisches Versicherungsgericht [EVG])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Ausschlaggebend für den Beweiswert ist grundsätzlich weder die Herkunft eines Beweismittels noch die Bezeichnung der eingereichten oder in Auftrag gegebenen Stellungnahme als Bericht oder Gutachten, sondern dessen Inhalt (BGE 137 V 210 E. 6.2.2, 134 V 231 E. 5.1, 125 V 351 E. 3a).</w:t>
      </w:r>
    </w:p>
    <w:p>
      <w:r>
        <w:rPr>
          <w:b/>
        </w:rPr>
        <w:t>E. 3</w:t>
      </w:r>
    </w:p>
    <w:p>
      <w:r>
        <w:t>Vorab sind in einem ersten Schritt die Rechtsbegehren des Beschwerdeführers in formeller Hinsicht zu behandeln:</w:t>
      </w:r>
    </w:p>
    <w:p>
      <w:r>
        <w:rPr>
          <w:b/>
        </w:rPr>
        <w:t>E. 3.1</w:t>
      </w:r>
    </w:p>
    <w:p>
      <w:r>
        <w:t>In prozessualer Hinsicht liess der Beschwerdeführer einerseits die Durchführung eines zweiten Schriftenwechsels beantragen. Da diesem formellen Antrag stattgegeben worden ist, erübrigen sich diesbezügliche Weiterungen.</w:t>
      </w:r>
    </w:p>
    <w:p>
      <w:r>
        <w:rPr>
          <w:b/>
        </w:rPr>
        <w:t>E. 3.2.1</w:t>
      </w:r>
    </w:p>
    <w:p>
      <w:r>
        <w:t>Andererseits liess der Beschwerdeführer eine Verletzung der Aktenführungspflicht gemäss Art. 46 ATSG rügen und zusammengefasst ausführen, die vorliegenden Akten seien weder akturiert noch nur schon mit Seitenzahlen versehen. Auch fehle ein Aktenzeichen, und die Akten seien nicht chronologisch geordnet, wodurch keine Übersichtlichkeit gegeben sei und ein beträchtlicher und vermeidbarer Mehraufwand entstehe. Diese Umstände seien bei der Bemessung der Parteientschädigung billigerweise zu berücksichtigen (B-act. 1).</w:t>
      </w:r>
    </w:p>
    <w:p>
      <w:r>
        <w:rPr>
          <w:b/>
        </w:rPr>
        <w:t>E. 3.2.2</w:t>
      </w:r>
    </w:p>
    <w:p>
      <w:r>
        <w:t>Die Vorinstanz machte hinsichtlich dieses formellen Rechtsbegehrens geltend, mit der Vernehmlassung würden die vollständigen Akten in chronologischer Reihenfolge, mit Aktenverzeichnis und mit Identifikationsnummer für jedes Dokument eingereicht. Eine etwaige Verletzung des Akteneinsichtsrechts sei somit spätestens im Rahmen des vorliegenden Beschwerdeverfahrens als geheilt zu betrachten (B-act. 6).</w:t>
      </w:r>
    </w:p>
    <w:p>
      <w:r>
        <w:rPr>
          <w:b/>
        </w:rPr>
        <w:t>E. 3.2.3</w:t>
      </w:r>
    </w:p>
    <w:p>
      <w:r>
        <w:t>Die Aktenführungspflicht von Verwaltung und Behörden bildet das Gegenstück zum (aus Art. 29 Abs. 2 der Bundesverfassung der Schweizerischen Eidgenossenschaft vom 18. April 1999 [BV; SR 101] fliessenden) Akteneinsichts- und Beweisführungsrecht, indem die Wahrnehmung des Akteneinsichtsrechts durch die versicherte Person eine Aktenführungspflicht der Verwaltung voraussetzt.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w:t>
      </w:r>
    </w:p>
    <w:p>
      <w:r>
        <w:rPr>
          <w:b/>
        </w:rPr>
        <w:t>E. 3.2.4</w:t>
      </w:r>
    </w:p>
    <w:p>
      <w:r>
        <w:t>Die Vorinstanz bestreitet nicht, dass die dem Rechtsvertreter des Beschwerdeführers ausgehändigten Akten weder chronologisch geordnet noch paginiert/akturiert und mit einem Aktenverzeichnis versehen waren. Der Umstand, dass die Vorinstanz die Akten nicht geordnet, übersichtlich und systematisch erfasst übermittelt hatte, stellt nicht bloss eine geringfügige Unzulänglichkeit - welche die Annahme einer Verletzung der Aktenführungspflicht nicht rechtfertigen würde (BGE 138 V 218 E. 8.3) - sondern vielmehr eine schwerwiegende Verletzung der Begründungs- und Aktenführungspflicht als Teilaspekt des verfassungsmässigen Grundsatzes des rechtlichen Gehörs nach Art. 29 Abs. 2 BV dar (vgl. auch Urteile des BVGer C-7868/2009 vom 19. März 2012 E. 4.2, C-7924/2009 vom 4. Januar 2012 E. 6., C-7868/2009 vom 19. März 2012 E. 4.2 und C-2581/2011 vom 9. Februar 2012 E. 3 mit Hinweisen). Entgegen der Auffassung der Vorinstanz kann die Verletzung der Aktenführungspflicht nicht als geheilt gelten, da dem Rechtsvertreter zweifelsfrei ein Nachteil erwachsen war (vgl. BGE 107 Ia 1). Der Grund dafür liegt insbesondere im Umstand, dass ihm im Zeitpunkt der Beschwerdeerhebung mit vorgängigem Aktenstudium keine chronologisch geordneten, paginierten, akturierten und mit einem Verzeichnis versehenen Akten zur Verfügung standen. Diese Verletzung der Aktenführungspflicht ist antragsgemäss bei der Bemessung der Parteientschädigung zu berücksichtigen (vgl. E. 8.2 hiernach).</w:t>
      </w:r>
    </w:p>
    <w:p>
      <w:r>
        <w:rPr>
          <w:b/>
        </w:rPr>
        <w:t>E. 4</w:t>
      </w:r>
    </w:p>
    <w:p>
      <w:r>
        <w:t>Die Vorinstanz stützte sich im Rahmen des Erlasses der angefochtenen Verfügung vom 22. August 2018 (act. 54) insbesondere auf die Berichte von Dr. med. F._______, Facharzt für Allgemeine Medizin, vom RAD vom 14. Februar 2018 (act. 40) und 24. Juni 2018 (act. 51). Diese medizinischen Dokumente sind nachfolgend nebst weiteren zusammengefasst wiederzugeben und einer Würdigung zu unterziehen. Anhand dieser medizinischen Akten sowie weiterer Dokumente ist - soweit überhaupt möglich - zu prüfen, ob die Vorinstanz den Rentenanspruch sowie den Anspruch auf berufliche Massnahmen des Beschwerdeführers zurecht abgewiesen hat resp. ob die Durchführung weiterer medizinischer Abklärungen unumgänglich ist.</w:t>
      </w:r>
    </w:p>
    <w:p>
      <w:r>
        <w:rPr>
          <w:b/>
        </w:rPr>
        <w:t>E. 4.1</w:t>
      </w:r>
    </w:p>
    <w:p>
      <w:r>
        <w:t>In seiner Stellungnahme vom 14. Februar 2018 erwähnte Dr. med. F._______ unter «Hauptdiagnose» eine chronische Lumboischialgie L5 links mit sensiblem Defizitsyndrom bei einem Status nach Fenestration L5/S1 links am 6. Oktober 2016 sowie einen Status nach toxisch-irritativem Asthma auf Lackierungs- und Lösungsmittel (Nichteignungsverfügung der Suva vom 3. Juli 2017). Er attestierte dem Beschwerdeführer in der bisherigen Tätigkeit ab dem 6. Oktober 2016 («Operation Rücken») eine 100%ige und in einer angepassten Verweisungstätigkeit ab dem 1. Mai 2017 («gemäss Bericht 11.5.2017, Spital G._______») eine 0%ige Arbeitsunfähigkeit. Weiter führte Dr. med. F._______ aus, die medizinische Aktenlage sei vollständig. Der Versicherte könne auf seinem angestammten Beruf als Maler und Lackierer definitiv nicht mehr arbeiten, da er ein toxisch-irritatives Asthma auf Lösungsmittel entwickelt habe. Er klage aber auch über eine Rückenproblematik. Diesbezüglich sei im Oktober 2016 eine Operation erfolgt. Fünf Monate später habe der Versicherte wieder voll auf seinem angestammten Beruf gearbeitet, was von Seiten des Rückenchirurgen als eher über das Mass hinausgehend betrachtet worden sei. Eigentlich sei bereits ab dem 6. Oktober 2016 die angestammte Tätigkeit nicht mehr zumutbar. Ab dem 1. Mai 2017 habe der Versicherte wieder eine volle Arbeitsfähigkeit gezeigt. Es sei aber festzuhalten, dass diese eigentlich nur unter Berücksichtigung der erwähnten funktionellen Einschränkungen medizinisch sinnvoll und zumutbar sei. Die Prognose sei gut, der Versicherte sollte unter den genannten Umständen keine Verschlechterung des Gesundheitszustands erfahren.</w:t>
      </w:r>
    </w:p>
    <w:p>
      <w:r>
        <w:rPr>
          <w:b/>
        </w:rPr>
        <w:t>E. 4.2</w:t>
      </w:r>
    </w:p>
    <w:p>
      <w:r>
        <w:t>In Kenntnis der Laborwerte und des MR vom 17. März 2018 (act. 44 und 46) sowie des Berichts von Prof. Dr. H._______ vom 19. März 2018 (act. 47) war Dr. med. F._______ in seiner Stellungnahme vom 24. Juni 2018 der Ansicht, diese neuen Dokumente änderten nichts an der bisherigen Einschätzung, weshalb die Schlussfolgerungen im Bericht vom 14. Februar 2018 unverändert blieben.</w:t>
      </w:r>
    </w:p>
    <w:p>
      <w:r>
        <w:rPr>
          <w:b/>
        </w:rPr>
        <w:t>E. 4.3</w:t>
      </w:r>
    </w:p>
    <w:p>
      <w:r>
        <w:t>Im Bericht des Spitals G._______, Abteilung interdisziplinäre Wirbelsäulenchirurgie, vom 11. Mai 2017 (act. 23 S. 54 und 55 resp. act. 11 S. 18 und 19) diagnostizierten der Co-Chefarzt Dr. med. I._______ und der Oberarzt Dr. med. J._______ ein persistierendes Schmerz- und sensibles Defizitsyndrom L5 links mit/bei einem Status nach lumbaler Fenestration L5/S1 links am 6. Oktober 2016, einer Neuritis L5 links, einer Osteochondrose L5/S1, einer Diskushernie L5/S1 links mit foraminaler Kompression L5 und Verdrängung S1 sowie einen Status nach einer erfolglosen Wurzelinfiltration L5 links am 11. April 2017. Weiter berichteten diese Ärzte, trotz der Beschwerden habe der Versicherte seine Arbeit als Autolackierer seit anderthalb Wochen wieder zu 100 % aufgenommen. Parallel zu den Lumboischialgien stehe der Versicherte auch in pneumologischer Abklärung. Zusätzlich erwähnten die Dres. med. I._______ und J._______ ein hinkfreies, vollbelastetes Gangbild und die gute Durchführbarkeit von komplexen Gangarten. Schliesslich wiesen sie darauf hin, dass weitere Kontrollen nicht vereinbart worden seien und der Versicherte gegebenenfalls einer interdisziplinären Schmerztherapie zugewiesen werden könne, um eine neuerliche Infiltration zu diskutieren.</w:t>
      </w:r>
    </w:p>
    <w:p>
      <w:r>
        <w:rPr>
          <w:b/>
        </w:rPr>
        <w:t>E. 4.4.1</w:t>
      </w:r>
    </w:p>
    <w:p>
      <w:r>
        <w:t>Wie bereits dargelegt wurde (vgl. E. 2.6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von Dr. med. F._______ könnte - obwohl solche ohne eigene Untersuchung resp. Abklärung vor Ort verfasst wurden - volle Beweiskraft zukommen, wenn die übrigen, von der bundesgerichtlichen Rechtsprechung herausgearbeiteten Kriterien erfüllt sind. In Übereinstimmung mit der Vorinstanz können RAD-Stellungnahmen wie Aktengutachten beweiskräftig sein, sofern ein lückenloser Befund vorliegt und es im Wesentlichen nur um die fachärztliche Beurteilung eines an sich feststehenden medizinischen Sachverhalts geht (vgl. bspw. Urteil des BGer 9C_524/2017 vom 21. März 2018 E. 5.1 mit Hinweisen). Da dies vorliegend jedoch nur beschränkt der Fall ist resp. gewisse Zweifel an der Zuverlässigkeit und Schlüssigkeit der versicherungsinternen ärztlichen Feststellungen von Dr. med. F._______ bestehen, kann auf ergänzende Abklärungen nicht verzichtet werden (BGE 142 V 58 E. 5.1 f. mit Hinweisen; BGE 135 V 465 E. 4.4 mit Hinweis), wie im Folgenden zu zeigen ist.</w:t>
      </w:r>
    </w:p>
    <w:p>
      <w:r>
        <w:rPr>
          <w:b/>
        </w:rPr>
        <w:t>E. 4.4.2</w:t>
      </w:r>
    </w:p>
    <w:p>
      <w:r>
        <w:t>Gemäss dem Austrittbericht der interdisziplinären Wirbelsäulenchirurgie des Spitals G._______ vom 9. Oktober 2016 ist erstellt, dass der Beschwerdeführer in orthopädisch-wirbelsäulenchirurgischer Hinsicht in der angestammten Tätigkeit vom 6. Oktober bis 17. November 2016 arbeitsunfähig gewesen war (act. 11 S. 10 und 11). Weiter besteht laut ambulantem wirbelsäulenchirurgischem Sprechstundenbericht des Spitals G._______ vom 17. November 2016 (act. 11 S. 14 und 15) kein Zweifel, dass diese Arbeitsunfähigkeit mindestens noch bis Dezember 2016 angedauert hatte. Schliesslich ergibt sich aufgrund des Berichts der interdisziplinären Wirbelsäulenchirurgie des Spitals G._______ vom 11. Mai 2017 (act. 11 S. 18 und 19), dass sich diese Arbeitsunfähigkeit bis Anfang Mai 2017 verlängert hatte. Mit Blick auf diese Arztberichte sowie die Nichteignungsverfügung vom 3. Juli 2017, mit welcher die Suva den Versicherten rückwirkend auf den 1. Juli 2017 als nicht geeignet für die angestammte Tätigkeit als Maler und Spritzlackierer erklärt hatte (act. 15), ist nachvollziehbar, dass der Beginn des Wartejahres (vgl. Art. 28 Abs. 1 Bst. b IVG) entsprechend der Beurteilung von Dr. med. F._______ auf den 6. Oktober 2016 zu legen ist. Dabei ist irrelevant, dass im Bericht der interdisziplinären Wirbelsäulenchirurgie des Spitals G._______ vom 11. Mai 2017 erwähnt worden war, dass der Versicherte seine Arbeit als Autolackierer trotz seiner Beschwerden seit anderthalb Wochen zu 100 % wieder aufgenommen habe. Der Grund liegt insbesondere darin, dass es sich bei dieser Arbeitsaufnahme mit Blick auf die erwähnten medizinischen Dokumente bloss um einen Arbeitsversuch, welcher das Wartejahr im Sinne von Art. 29ter IVV nicht wesentlich zu unterbrechen vermochte, gehandelt hatte und der Beschwerdeführer im Zeitpunkt der Aufnahme der angestammten Arbeit keineswegs wieder (vollständig) arbeitsfähig war (vgl. hierzu Urteil des BGer 9C_340/2016 vom 21. November 2016 E. 4.1.2 mit Hinweis auf BGE 134 V 20 E. 3.2.1 mit Hinweisen und Urteil des BGer 9C_292/2008 vom 22. August 2008 E. 2.2.1). Nach dem Dargelegten ist somit erstellt, dass der Beschwerdeführer ab dem 6. Oktober 2016 während eines Jahres ohne wesentlichen Unterbruch durchschnittlich mindestens 40 % arbeitsunfähig gewesen war, weshalb die Voraussetzung von Art. 28 Abs. 1 Bst. b IVG erfüllt ist.</w:t>
      </w:r>
    </w:p>
    <w:p>
      <w:r>
        <w:rPr>
          <w:b/>
        </w:rPr>
        <w:t>E. 4.4.3</w:t>
      </w:r>
    </w:p>
    <w:p>
      <w:r>
        <w:t>Betreffend eine leidensadaptierte Verweisungstätigkeit ergibt sich, dass sich weder den oben erwähnten Arztberichten der interdisziplinären Wirbelsäulenchirurgie des Spitals G._______ noch dem Bericht der Dres. med. D._______ und E._______ vom 20. Dezember 2017 (Eingangstempel; act. 39) ein rechtsgenügliches Zumutbarkeitsprofil resp. Leistungskalkül entnehmen lässt. Ergänzend kommt hinzu, dass die Berichte des Spitals G._______ aus der Zeit vor Mitte 2017 datieren und es ihnen somit mit Blick auf den massgeblichen Verfügungszeitpunkt (22. August 2018) überdies an Aktualität fehlt. Insofern standen Dr. med. F._______ bei der Beurteilung der Leistungsfähigkeit in leidensangepassten Verweisungstätigkeiten keine beweiskräftigen medizinischen Dokumente zur Verfügung. Da er den Beschwerdeführer überdies nicht selber untersucht hatte und er in den medizinischen Fachdisziplinen Orthopädie und/oder Chirurgie nicht über einen entsprechenden Facharzttitel verfügt, kann seinen Stellungnahmen nur eine herabgesetzte und deshalb nicht rechtsgenügliche Beweiskraft beigemessen werden.</w:t>
      </w:r>
    </w:p>
    <w:p>
      <w:r>
        <w:rPr>
          <w:b/>
        </w:rPr>
        <w:t>E. 4.4.4</w:t>
      </w:r>
    </w:p>
    <w:p>
      <w:r>
        <w:t>Unter diesen Gegebenheiten ist nicht rechtsgenüglich feststellbar, ob der Beschwerdeführer nach Ablauf des Wartejahres im Oktober 2017 zu mindestens 40 % invalid ist (vgl. Art. 28 Abs. 1 Bst. b IVG). Aus diesem Grund hat die Vorinstanz - obwohl retrospektive Beurteilungen der Arbeits- und Leistungsunfähigkeit schwierig sind und entsprechende Begutachtungen deshalb erhöhten Ansprüchen genügen müssen (vgl. hierzu Urteil des BVGer C-1421/2013 vom 29. September 2014 E. 3.4.2 mit Hinweis) - eine neue umfassende medizinische Begutachtung in die Wege zu leiten. Diese hat sich rechtsgenüglich zu den vorliegenden Diagnosen - auch zum ärztlicherseits geäusserten Verdacht auf eine somatoforme Schmerzstörung (act. 23 S. 19 und 20) sowie zu der offenbar postoperativ entstandenen epiduralen Fibrose (act. 47) - und zur Leistungsfähigkeit des Beschwerdeführers insbesondere in leidensangepassten Verweisungstätigkeiten zu äussern. Je nach Abklärungsergebnis bzw. Diagnosen muss die gutachterliche Beurteilung auch im Einklang mit der aktuell geltenden Rechtslage stehen (zu den im Regelfall heranzuziehenden Standardindikatoren vgl. BGE 143 V 418 E. 7 und BGE 141 V 281 E. 4.1).</w:t>
      </w:r>
    </w:p>
    <w:p>
      <w:r>
        <w:rPr>
          <w:b/>
        </w:rPr>
        <w:t>E. 5</w:t>
      </w:r>
    </w:p>
    <w:p>
      <w:r>
        <w:t>Nach dem vorstehend Dargelegten ergibt sich zusammenfassend, dass sich der gesundheitliche Zustand des Beschwerdeführers und insbesondere dessen Auswirkungen auf die Leistungsfähigkeit in leidensadaptierten Verweisungstätigkeiten aufgrund der vorliegenden Aktenlage nicht schlüssig und zuverlässig beurteilen lässt (vgl. BGE 125 V 353 E. 3b/bb; vgl. zum Ganzen auch E. 2.6 hiervor). Die Stellungnahmen von Dr. med. F._______ sowie weitere aktenkundige medizinische Berichte vermögen keine aktuellen und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in der Schweiz ist unter den gegebenen Umständen notwendig und möglich, zumal eine Verlagerung der Expertentätigkeit von der administrativen auf die gerichtliche Ebene sachlich nicht wünschbar ist (vgl. BGE 137 V 210 E. 4.2). Mit Blick auf die beim Beschwerdeführer vorhandenen Atem- und Rückenbeschwerden ist die neue umfassende medizinische Begutachtung interdisziplinär durchzuführen (Urteil des BGer 8C_189/2008 vom 4. Juli 2008 E. 5 mit Hinweis auf 8C_321/2007 vom 6. Mai 2008, E. 6.3), wobei die Gutachtensstelle nebst den Fachdisziplinen Pneumologie und Orthopädie allfällige weitere Disziplinen selber zu bestimmen hat (vgl. hierzu BGE 139 V 349 E. 3.3). Im Rahmen dieser notwendigen medizinischen Begutachtung sind sämtliche bisher verfassten ärztlichen Berichte von den Expertinnen und/oder Experten zu würdigen.</w:t>
      </w:r>
    </w:p>
    <w:p>
      <w:r>
        <w:rPr>
          <w:b/>
        </w:rPr>
        <w:t>E. 6</w:t>
      </w:r>
    </w:p>
    <w:p>
      <w:r>
        <w:t>Nach neuer Ermittlung des vollständigen und richtigen medizinischen Sachverhalts hat die Vorinstanz einen Einkommensvergleich durchzuführen und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 Schliesslich hat sich die Vorinstanz gegebenenfalls auch zu beruflichen Eingliederungsmassnahmen zu äussern, wobei diesbezüglich festzuhalten bleibt, dass solche Massnahmen insbesondere auch die Erfüllung der versicherungsmässigen Kriterien und die subjektive und objektive Eingliederungsfähigkeit des Beschwerdeführers voraussetzen (vgl. hierzu bspw. Urteil des BGer 8C_667/2015 vom 6. September 2016 E. 4.2 mit Hinweisen).</w:t>
      </w:r>
    </w:p>
    <w:p>
      <w:r>
        <w:rPr>
          <w:b/>
        </w:rPr>
        <w:t>E. 7</w:t>
      </w:r>
    </w:p>
    <w:p>
      <w:r>
        <w:t>Aufgrund der vorstehenden Erwägungen ist zusammenfassend festzuhalten, dass die Beschwerde insoweit gutzuheissen ist, als die angefochtene Verfügung vom 22. August 2018 aufzuheben ist und die Akten im Sinne der Erwägungen an die Vorinstanz zur Durchführung von weiteren umfassenden medizinischen Abklärungen und anschliessendem Erlass einer neuen Verfügung zurückzuweisen sind. Soweit weitergehend ist die Beschwerde abzuweisen.</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von ihm geleistete Kostenvorschuss von Fr. 800.- ist ihm nach Eintritt der Rechtskraft des vorliegenden Urteils zurückzuerstatten. Der Vorinstanz werden ebenfalls keine Verfahrenskosten auferlegt (Art. 63 Abs. 2 VwVG).</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Verletzung der Aktenführungspflicht durch die Vorinstanz (vgl. insb. E. 3.2.4 hiervor), des Verfahrensausgangs, des gebotenen und aktenkundigen Aufwands, der Bedeutung der Streitsache und der Schwierigkeit des vorliegend zu beurteilenden Verfahrens ist eine Parteientschädigung von Fr. 3'500.- (inklusive Auslagen, ohne Mehrwertsteuer [vgl. dazu Urteil des BVGer C-3042/2016 vom 15. Dezember 2016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