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C-5641/2008 vom 15. Februar 2010</w:t>
      </w:r>
    </w:p>
    <w:p>
      <w:r>
        <w:t>Bundesverwaltungsgericht, 2010-02-15, DE</w:t>
      </w:r>
    </w:p>
    <w:p>
      <w:r>
        <w:rPr>
          <w:b/>
        </w:rPr>
        <w:t xml:space="preserve">Quelle: </w:t>
      </w:r>
      <w:r>
        <w:t>https://mcp.opencaselaw.ch/entscheid/bvger_C-5641_2008</w:t>
      </w:r>
    </w:p>
    <w:p>
      <w:r>
        <w:t>FR: TAF C-5641/2008 du 15 février 2010</w:t>
      </w:r>
    </w:p>
    <w:p>
      <w:r>
        <w:t>IT: TAF C-5641/2008 del 15 febbraio 2010</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(Nichteintretens-)Entscheid berührt und hat ein schutzwürdiges Interesse an dessen Aufhebung oder Änderung, so dass sie im Sinne von Art. 59 ATSG beschwerdelegitimiert ist.</w:t>
      </w:r>
    </w:p>
    <w:p>
      <w:r>
        <w:rPr>
          <w:b/>
        </w:rPr>
        <w:t>E. 1.4.1</w:t>
      </w:r>
    </w:p>
    <w:p>
      <w:r>
        <w:t>Gemäss Art. 60 Abs. 1 ATSG ist die Beschwerde innert 30 Tagen nach Eröffnung der Verfügung einzureichen. Vorliegend datiert der angefochtene Einspracheentscheid vom 28. April 2008 und die Beschwerde vom 30. August 2008 wurde am 2. September 2008 beim FedEx-Kurierdienst in Mexiko aufgegeben. Gemäss Stellungnahme der SAK vom 7. Dezember 2009 konnte das Zustellungsdatum des angefochtenen Entscheids, welcher zwar mit eingeschriebener Post, aber nicht mit Rückschein versandt wurde, nicht eruiert werden. Die Mitteilung des Inhalts des per E-Mail am 20. Juni 2008 verschickten Einspracheentscheids gilt nicht als rechtsgenügliche Eröffnung, sofern - wie hier - keine Vereinbarung über die Zustellung auf elektronischem Weg vorliegt (vgl. Art. 34 Abs. 1 und 1bis VwVG), weshalb nicht darauf abzustellen ist. Die Beweislast für den Beginn der Frist liegt bei der eröffnenden Behörde (Ulrich Häfelin/Georg Müller/Felix Uhlmann, Allgemeines Verwaltungsrecht, 5. Aufl., Zürich/Basel/Genf 2006, Rz. 1651). Aus diesen Gründen ist zu Gunsten der Beschwerdeführerin davon auszugehen, dass die vorliegende Beschwerde fristgerecht erhoben wurde.</w:t>
      </w:r>
    </w:p>
    <w:p>
      <w:r>
        <w:rPr>
          <w:b/>
        </w:rPr>
        <w:t>E. 1.4.2</w:t>
      </w:r>
    </w:p>
    <w:p>
      <w:r>
        <w:t>Da die Beschwerde im Übrigen formgerecht (Art. 52 Abs. 1 VwVG) eingereicht wurde, ist auf die Beschwerde einzutreten.</w:t>
      </w:r>
    </w:p>
    <w:p>
      <w:r>
        <w:rPr>
          <w:b/>
        </w:rPr>
        <w:t>E. 2</w:t>
      </w:r>
    </w:p>
    <w:p>
      <w:r>
        <w:t>Vorliegend hat die Beschwerdeführerin den Nichteintretensentscheid der SAK angefochten. Es ist nachfolgend - entgegen der Ansicht der Beschwerdeführerin - keine materielle Prüfung vorzunehmen, sondern lediglich zu prüfen, ob die SAK zu Recht nicht auf die Einsprache der Beschwerdeführerin eingetreten ist.</w:t>
      </w:r>
    </w:p>
    <w:p>
      <w:r>
        <w:rPr>
          <w:b/>
        </w:rPr>
        <w:t>E. 2.1</w:t>
      </w:r>
    </w:p>
    <w:p>
      <w:r>
        <w:t>Gemäss Art. 52 Abs. 1 ATSG kann innerhalb von 30 Tagen bei der verfügenden Stelle Einsprache erhoben werden; davon ausgenommen sind prozess- und verfahrensleitende Verfügungen. Einsprachen müssen ein Rechtsbegehren und eine Begründung enthalten (Art. 10 Abs. 1 der Verordnung vom 11. September 2002 über den Allgemeinen Teil des Sozialversicherungsrechts [ATSV, SR 830.11]). Die schriftlich erhobene Einsprache muss die Unterschrift der Einsprache führenden Person oder ihres Rechtsvertreters oder ihres Rechtsbeistandes enthalten (Art. 10 Abs. 4 ATSV). Genügt die Einsprache den Anforderungen nach Absatz 1 nicht oder fehlt die Unterschrift, so setzt der Versicherer eine angemessene Frist zur Behebung der Mängel an und verbindet damit die Androhung, dass sonst auf die Einsprache nicht eingetreten wird (Art. 10 Abs. 5 ATSV). Rechtsprechungsgemäss erfüllt ein per Fax eingereichtes Rechtsmittel die Anforderungen, welche an die Schriftlichkeit gestellt werden, nicht, da die Unterschrift diesfalls nicht im Original vorliegt (vgl. FRANK SEETHALER/FABIA BOCHSLER, in: Waldmann/Weissenberger [Hrsg.], Praxiskommentar VwVG, Zürich 2009, Art. 52 N 17 ff.).</w:t>
      </w:r>
    </w:p>
    <w:p>
      <w:r>
        <w:rPr>
          <w:b/>
        </w:rPr>
        <w:t>E. 2.2</w:t>
      </w:r>
    </w:p>
    <w:p>
      <w:r>
        <w:t>Vorliegend hat die Beschwerdeführerin ihre Einsprache vom 20. Februar 2008 am 21. Februar 2009 per Fax übermittelt. Die SAK hat der Beschwerdeführerin mit E-Mail vom 21. Februar 2008 mitgeteilt, sie müsse die Einsprache noch im Original nachreichen, damit auf die Einsprache eingetreten werden könne. Sie setzte ihr zur Verbesserung der Einsprache gemäss Art. 10 Abs. 5 ATSV eine Frist von 30 Tagen. Gemäss Art. 49 Abs. 1 ATSG hat der Versicherungsträger über Leistungen, Forderungen und Anordnungen, die erheblich sind oder mit denen die betroffene Person nicht einverstanden ist, schriftlich Verfügungen zu erlassen. Die Ansetzung einer Nachfrist verbunden mit der Androhung, bei ungenutztem Fristablauf werde auf ein Rechtsmittel nicht eingetreten, stellt zweifellos eine erhebliche Anordnung im Sinn von Art. 49 Abs. 1 ATSG dar. Die Vorinstanz hätte daher die Aufforderung vom 21. Februar 2008 in Schriftform erlassen und der Beschwerdeführerin auf dem Postweg eröffnen müssen (zur Unzulässigkeit der Eröffnung per E-Mail, wenn das Gesetz die Schriftform vorsieht, vgl. auch LORENZ KNEUBÜHLER, in: Christoph Auer/Markus Müller/Benjamin Schindler [Hrsg.], Kommentar zum Bundesgesetz über das Verwaltungsverfahren [VwVG], Zürich/ St. Gallen 2008, Art. 34 Rz. 4 und Urteil des Bundesverwaltungsgerichts vom 13. Januar 2010 [C-7078/2007] E. 5.2). Daraus ergibt sich die Feststellung, dass die Vorinstanz der Beschwerdeführerin die Nachfrist zur Behebung des Formmangels und die damit verbundene Androhung des Nichteintretens bei ungenutztem Ablauf der Frist nicht in der gesetzlich vorgeschriebenen Form eröffnet hat, weshalb jene keine Rechtswirkung entfalten konnte und die SAK demzufolge auf die am 30. April 2008 verbesserte Einsprache hätte eintreten müssen.</w:t>
      </w:r>
    </w:p>
    <w:p>
      <w:r>
        <w:rPr>
          <w:b/>
        </w:rPr>
        <w:t>E. 2.3</w:t>
      </w:r>
    </w:p>
    <w:p>
      <w:r>
        <w:t>Die Beschwerde ist demzufolge gutzuheissen und der angefochtene Nichteintretensentscheid der SAK ist aufzuheben. Die Akten gehen an die SAK zurück, damit diese über die Einsprache der Beschwerdeführerin materiell entscheide.</w:t>
      </w:r>
    </w:p>
    <w:p>
      <w:r>
        <w:rPr>
          <w:b/>
        </w:rPr>
        <w:t>E. 3.1</w:t>
      </w:r>
    </w:p>
    <w:p>
      <w:r>
        <w:t>Das Verfahren ist für die Parteien kostenlos (Art. 85bis Abs. 2 AHVG), so dass keine Verfahrenskosten zu erheben sind.</w:t>
      </w:r>
    </w:p>
    <w:p>
      <w:r>
        <w:rPr>
          <w:b/>
        </w:rPr>
        <w:t>E. 3.2</w:t>
      </w:r>
    </w:p>
    <w:p>
      <w:r>
        <w:t>Da der obsiegenden Beschwerdeführerin, welche nicht vertreten war, keine unverhältnismässig hohen Kosten entstanden sind und die zu Recht auch keinen entsprechenden Antrag gestellt hat, ist keine Parteientschädigung zuzusprechen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