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C-5634/2021 vom 16. November 2021</w:t>
      </w:r>
    </w:p>
    <w:p>
      <w:r>
        <w:t>Bundesverwaltungsgericht, 2021-11-16, FR</w:t>
      </w:r>
    </w:p>
    <w:p>
      <w:r>
        <w:rPr>
          <w:b/>
        </w:rPr>
        <w:t xml:space="preserve">Quelle: </w:t>
      </w:r>
      <w:r>
        <w:t>https://mcp.opencaselaw.ch/entscheid/bvger_C-5634_2021_d20211116</w:t>
      </w:r>
    </w:p>
    <w:p>
      <w:r>
        <w:t>FR: TAF C-5634/2021 du 16 novembre 2021</w:t>
      </w:r>
    </w:p>
    <w:p>
      <w:r>
        <w:t>IT: TAF C-5634/2021 del 16 novembre 2021</w:t>
      </w:r>
    </w:p>
    <w:p>
      <w:pPr>
        <w:pStyle w:val="Heading2"/>
      </w:pPr>
      <w:r>
        <w:t>Regeste</w:t>
      </w:r>
    </w:p>
    <w:p>
      <w:r>
        <w:t>Droit &amp;agrave; la rente | Assurance-invalidité, droit à la rente (décision du 16 novembre 2021)</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w:t>
      </w:r>
    </w:p>
    <w:p>
      <w:r>
        <w:t>C-5634/2021 Page 6 assurances sociales (LPGA, RS 830.1 ; art. 3 let. dbis PA).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LPGA et 52 al. 1 PA), et l’avance sur les frais de procédure ayant été dûment acquittée (art. 63 al. 4 PA ; TAF pces 10 et 13), le recours est recevable.</w:t>
      </w:r>
    </w:p>
    <w:p>
      <w:r>
        <w:rPr>
          <w:b/>
        </w:rPr>
        <w:t>E. 2</w:t>
      </w:r>
    </w:p>
    <w:p>
      <w:r>
        <w:t>Le présent litige porte sur le bien-fondé de la décision de l’OAIE du 16 novembre 2021, rejetant la demande de prestations du 8 août 2020, au motif que l’assuré peut notamment exercer une activité lucrative adaptée à son état de santé à 70 %.</w:t>
      </w:r>
    </w:p>
    <w:p>
      <w:r>
        <w:rPr>
          <w:b/>
        </w:rPr>
        <w:t>E. 2.2</w:t>
      </w:r>
    </w:p>
    <w:p>
      <w:r>
        <w:t>; 109 V 262 consid. 3). Cette exigence doit permettre à l'administration, qui a précédemment rendu une décision de refus de prestations entrée en force, d'écarter sans plus ample examen de nouvelles demandes dans les- quelles l'assuré se borne à répéter les mêmes arguments, sans alléguer une modification des faits déterminants (ATF 130 V 71 consid. 3.2.3 ; 125 V 410 consid. 2b ; 117 V 198 consid. 4b et les références). Lorsque l'administration entre en matière sur la nouvelle demande, il con- vient de traiter l'affaire au fond et de vérifier, par analogie avec l'art. 17 LPGA, que la modification du degré d'invalidité est réellement intervenue (ATF 133 V 108 ; 130 V 71 consid. 3.2 ; 109 V 108 consid. 2b ; TF 9C_435/2013 du 27 septembre 2013 consid. 5.1).</w:t>
      </w:r>
    </w:p>
    <w:p>
      <w:r>
        <w:rPr>
          <w:b/>
        </w:rPr>
        <w:t>E. 3</w:t>
      </w:r>
    </w:p>
    <w:p>
      <w:r>
        <w:t>Le Tribunal administratif fédéral applique le droit d'office, sans être lié par les motifs invoqués par les parties (art. 62 al. 4 PA ; ATAF 2013/46 con- sid. 3.2), ni par l'argumentation juridique développée dans la décision en- treprise (PIERRE MOOR / ETIENNE POLTIER, Droit administratif, vol. II, 3e éd. 2011, no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 / MICHAEL BEUSCH / LORENZ KNEU- BÜHLER / MARTIN KAYSER, Prozessieren vor dem Bundesverwaltungsge- richt, 3e éd. 2022,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16 novembre 2021, date de la décision litigieuse, qui marque la limite dans le temps du pouvoir d’examen de l’autorité de</w:t>
      </w:r>
    </w:p>
    <w:p>
      <w:r>
        <w:t>C-5634/2021 Page 7 recours. Les modifications de la LAI et de la LPGA adoptées le 19 juin 2020 (Développement continu de l’AI ; RO 2021 705 ; FF 2017 2363), ainsi que celles du 3 novembre 2021 apportées au règlement du 17 janvier 1961 sur l’assurance invalidité (RAI, RS 831.201 ; RO 2021 706), entrées en vigueur le 1er janvier 2022, ne sont pas applicables en l’espèce.</w:t>
      </w:r>
    </w:p>
    <w:p>
      <w:r>
        <w:rPr>
          <w:b/>
        </w:rPr>
        <w:t>E. 4.2</w:t>
      </w:r>
    </w:p>
    <w:p>
      <w:r>
        <w:t>Le juge des assurances sociales apprécie la légalité des décisions at- taquées, en règle générale, d’après l’état de fait existant jusqu’au moment où la décision litigieuse a été rendue (en l’espèce, le 16 novembre 2021). Les faits survenus postérieurement, et qui ont modifié cette situation, doi- vent en principe faire l'objet d'une nouvelle décision administrative (ATF 144 V 210 consid. 4.3.1 ; 130 V 138 consid. 2.1 ; 121 V 362 con- sid. 1b). Le Tribunal ne peut ainsi prendre en considération que les rap- ports médicaux établis antérieurement à la décision attaquée, à moins que ceux établis ultérieurement ne permettent de mieux comprendre l’état de santé et la capacité de travail de l’assuré jusqu’à la décision sujette à re- cours (ATF 130 V 445 consid. 1.2.1, 121 V 362 consid. 1b) et qu’ils soient de nature à influencer l’appréciation du cas au moment où la décision at- taquée a été rendue (arrêt du TF 9C_34/2017 du 20 avril 2017 consid. 5.2). Aussi, le Tribunal ne tiendra compte des rapports médicaux postérieurs au 16 novembre 2021 (cf. ci-dessus, let. C.b) que dans la mesure où les con- ditions précitées sont remplies.</w:t>
      </w:r>
    </w:p>
    <w:p>
      <w:r>
        <w:rPr>
          <w:b/>
        </w:rPr>
        <w:t>E. 4.3</w:t>
      </w:r>
    </w:p>
    <w:p>
      <w:r>
        <w:t>Le recourant étant un ressortissant espagnol, domicilié en Espagne, ayant travaillé en Suisse et demandant l’octroi de prestations AI suisses, l’affaire présente un aspect transnational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w:t>
      </w:r>
    </w:p>
    <w:p>
      <w:r>
        <w:t>C-5634/2021 Page 8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w:t>
      </w:r>
    </w:p>
    <w:p>
      <w:r>
        <w:t>Tout requérant, pour avoir droit à une rente ordinaire de l’assurance-invali- dité suisse, doit remplir cumulativement les conditions suivantes : d'une part être invalide au sens de la LPGA et de la LAI (art. 8 LPGA ; art. 4, 28 et 29 al. 1 LAI) ; d'autre part compter au moins trois années entières de cotisations lors de la survenance de l’invalidité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de la loi fédérale du 20 décembre 1946 sur l’assurance-vieillesse et survivants [LAVS, RS 831.10] ; ATF 131 V 390 ; FF 2005 4215 p. 4291 ; art. 6 et 45 du règlement n° 883/2004). En l'es- pèce, le recourant a versé des cotisations à l'AVS/AI suisse pendant 64 mois. Il remplit par conséquent la condition de la durée minimale de coti- sations (cf. ci-dessus, let. A.a). Reste à examiner s’il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w:t>
      </w:r>
    </w:p>
    <w:p>
      <w:r>
        <w:t>C-5634/2021 Page 9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w:t>
      </w:r>
    </w:p>
    <w:p>
      <w:r>
        <w:rPr>
          <w:b/>
        </w:rPr>
        <w:t>E. 6.4</w:t>
      </w:r>
    </w:p>
    <w:p>
      <w:r>
        <w:t>L'évaluation du taux d'invalidité se fait principalement sur la base de trois méthodes : la méthode ordinaire de comparaison des revenus, la mé- thode spécifique et la méthode mixte. Leur application dépend du statut du bénéficiaire potentiel de la rente. Il faut se demander ce que la personne assurée aurait fait si l'atteinte à la santé n'était pas survenue (voir notam- ment arrêts du TF 9C_279/2018 du 28 juin 2018 consid. 2.2 ; 9C_552/2016 du 9 mars 2017 consid. 4.2 ; 9C_875/2015 du 11 mars 2016 consid. 6.2).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w:t>
      </w:r>
    </w:p>
    <w:p>
      <w:r>
        <w:t>C-5634/2021 Page 10 revenus permet de calculer le taux d'invalidité (cf. notamment ATF 137 V 334 consid. 3.1.1 ; arrêt du TF 8C_536/2017 du 5 mars 2018 consid. 5.1).</w:t>
      </w:r>
    </w:p>
    <w:p>
      <w:r>
        <w:rPr>
          <w:b/>
        </w:rPr>
        <w:t>E. 6.5.1</w:t>
      </w:r>
    </w:p>
    <w:p>
      <w:r>
        <w:t>Si la rente a été refusée une première fois parce que le degré d'inva- lidité était insuffisant, la nouvelle demande ne peut être examinée que dans la mesure où l'assuré rend plausible que son invalidité s'est modifiée de manière à influencer ses droits (art. 87 al. 2 et 3 RAI ; ATF 130 V 71 consid.</w:t>
      </w:r>
    </w:p>
    <w:p>
      <w:r>
        <w:rPr>
          <w:b/>
        </w:rPr>
        <w:t>E. 6.5.2</w:t>
      </w:r>
    </w:p>
    <w:p>
      <w:r>
        <w:t>En vertu de l'art. 17 al. 1 LPGA, si le taux d'invalidité du bénéficiaire de la rente subit une modification notable, la rente est, d'office ou sur de- mande, révisée pour l'avenir, à savoir augmentée ou réduite en consé- quence, ou encore supprimée. Pour autant qu’il ressorte clairement du dossier, tout changement important des circonstances propres à influencer le degré d'invalidité, et donc le droit à la rente, peut motiver une révision selon l'art. 17 LPGA (notamment : ar- rêts du TF 9C_195/2017 du 27 novembre 2017, consid. 4.3.2 ; I 111/07 du 17 décembre 2007, consid. 3). En revanche, une simple appréciation dif- férente d'un état de fait, qui, pour l'essentiel, est demeuré inchangé n'ap- pelle pas à une révision au sens de l'art. 17 LPGA (ATF 112 V 371 consid. 2b p. 372; 387 consid. 1b p. 390). Le point de savoir si un tel changement s'est produit doit être tranché en comparant les faits tels qu'ils se présen- taient au moment de la dernière décision entrée en force reposant sur un examen matériel du droit à la rente avec une constatation des faits perti- nents, une appréciation des preuves et une comparaison des revenus con- formes au droit, et les circonstances régnant à l'époque de la décision liti- gieuse (ATF 133 V 108 consid. 5).</w:t>
      </w:r>
    </w:p>
    <w:p>
      <w:r>
        <w:t>C-5634/2021 Page 11 Lorsque les faits déterminants pour le droit à la rente se sont modifiés au point de faire apparaître un changement important de l'état de santé moti- vant une révision, le degré d'invalidité doit être fixé à nouveau sur la base d'un état de fait correct et complet, sans référence à des évaluations d'inva- lidité antérieures (ATF 141 V 9 consid. 2.3).</w:t>
      </w:r>
    </w:p>
    <w:p>
      <w:r>
        <w:rPr>
          <w:b/>
        </w:rPr>
        <w:t>E. 6.6</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w:t>
      </w:r>
    </w:p>
    <w:p>
      <w:r>
        <w:t>C-5634/2021 Page 12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ad art. 57 n° 33).</w:t>
      </w:r>
    </w:p>
    <w:p>
      <w:r>
        <w:t>C-5634/2021 Page 13</w:t>
      </w:r>
    </w:p>
    <w:p>
      <w:r>
        <w:rPr>
          <w:b/>
        </w:rPr>
        <w:t>E. 7.3.2</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VALTERIO, op. cit., ad. art. 57 LAI n° 48 et 49).</w:t>
      </w:r>
    </w:p>
    <w:p>
      <w:r>
        <w:rPr>
          <w:b/>
        </w:rPr>
        <w:t>E. 7.3.3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Le Tribunal fédéral n’y voit pas de motif de partialité ou de subjectivité. La valeur probante de tels rapports dépend bien plutôt de leur contenu : ainsi doivent-ils être jugés pertinents, compréhensibles et cohérents pour avoir valeur de preuve.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125 V 351 consid. 3b/ee ; 122 V 157 consid. 1d ; VALTERIO, op. cit., art. 57 n° 43). Les prises de position du service médical interne de l’OAIE doivent être appréciées comme des rapports de médecins liés à l’assureur. A l’instar des rapports des services médicaux régionaux (SMR) au sens de l’art. 49 al. 1 RAI, ces prises de position ne se fondent pas sur des examens médicaux effectués sur la personne et ne posent pas de nouvelles conclusions médicales, mais elles portent une appréciation sur celles déjà</w:t>
      </w:r>
    </w:p>
    <w:p>
      <w:r>
        <w:t>C-5634/2021 Page 14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Pour avoir valeur probante, ces prises de position présupposent donc que le dossier ayant servi de base à leur établissement contient suffisamment d'appréciations médicales résultant d'un examen personnel de l'assuré et permet l'établissement non lacunaire de l'état de santé, par ailleurs stabilisé, de l'assuré (ATF 142 V 58 consid. 5.1 ; 137 V 210 consid. 6.2.4 ; arrêts du TF 9C_165/2015 du 12 novembre 2015 consid. 4.3 ; 9C_335/2015 du 1er septembre 2015 ; 9C_58/2011 du 25 mars 2011 consid. 3.3 ; 8C_565/2008 du 27 janvier 2009 consid. 3.3.3 ; arrêt du TAF C−2843/2016 du 30 mai 2018 consid. 8.2 ; VALTERIO, op. cit., ad art. 57 LAI n° 43).</w:t>
      </w:r>
    </w:p>
    <w:p>
      <w:r>
        <w:rPr>
          <w:b/>
        </w:rPr>
        <w:t>E. 8.1</w:t>
      </w:r>
    </w:p>
    <w:p>
      <w:r>
        <w:t>En l’espèce, dans le contexte des art. 87 RAI et 17 LPGA, il faut ad- mettre que l’autorité inférieure est entrée en matière sur la nouvelle de- mande de prestations de l’assuré et que ce dernier a rendu plausible la modification de son état de santé depuis la décision de novembre 2018, le formulaire E 213 ES du 18 septembre 2020 (OAIE pce 7) mettant notam- ment en relief une aggravation de l’état de santé de l’intéressé, causant des limitations fonctionnelles plus importantes – comparativement à no- vembre 2018 – au niveau des genoux et des poignets en particulier (cf. également rapport du Dr J._______ du 9 septembre 2021 [OAIE pce 150]). Il s’agit par conséquent d’analyser le cas sous l’angle de l’art. 17 LPGA.</w:t>
      </w:r>
    </w:p>
    <w:p>
      <w:r>
        <w:rPr>
          <w:b/>
        </w:rPr>
        <w:t>E. 8.2.1</w:t>
      </w:r>
    </w:p>
    <w:p>
      <w:r>
        <w:t>La décision d’octroi de rente limitée dans le temps du 14 novembre 2018 – entrée en force sans avoir été contestée (cf. ci-dessus, let. A.b) – reposait sur l’appréciation du Dr M ._______(anesthésiste, médecin du SMR ; ci-après : le Dr M ._______; cf. prises de position des 3 et 17 juillet 2018 [OAIE pces 38 et 42]), qui avait retenu une épicondylite radiale droite et une lésion du nerf interosseux, dans le cadre d’une évolution médicale défavorable à une année de l’intervention de juillet 2017 (cf. ci-dessus, let. B.a) avec chronicisation de l’épicondylite. Et le médecin du SMR de con- clure que l’activité habituelle n’était plus possible, alors qu’une activité adaptée pouvait être exercée à temps plein, sans diminution de rendement,</w:t>
      </w:r>
    </w:p>
    <w:p>
      <w:r>
        <w:t>C-5634/2021 Page 15 dans le respect des limitations fonctionnelles suivantes : pas de port de charge répétitif de plus de 5 kg avec le membre supérieur droit, pas de travaux de force du membre supérieur droit, pas de mouvements répétitifs de pronation-supination ni flexion-extension du coude droit.</w:t>
      </w:r>
    </w:p>
    <w:p>
      <w:r>
        <w:rPr>
          <w:b/>
        </w:rPr>
        <w:t>E. 8.2.2</w:t>
      </w:r>
    </w:p>
    <w:p>
      <w:r>
        <w:t>Dans le cadre de cette première demande de prestations – ayant abouti à la décision du 14 novembre 2018 précitée –, le médecin du SMR disposait en particulier du rapport du Dr N ._______(spécialiste en ortho- pédie et traumatologie ; ci-après : le Dr N._______) du 2 juillet 2018 (OAIE pce 40), posant les diagnostics avec effet sur la capacité de travail sui- vants : - status post cure d’épicondylite radiale avec décompression du nerf in- terosseux postérieur du coude droit ; - décompression du nerf médian à droite ; - libération du nerf cubital le 18 juillet 2017 ; - épicondylite médiale à gauche. Par ailleurs, le Dr N ._______faisait état d’un patient qui se plaignait de douleurs disséminées au niveau de ses deux coudes, des avant-bras, de l’épaule droite et de la colonne cervicale et dorsale, ainsi que d’un manque de force du membre supérieur droit et d’une raideur matinale. En particulier, le Dr N ._______indiquait que la dernière activité lucrative n’était pas exigible, alors qu’une autre activité adaptée pouvait être exercée sans diminution de rendement, consistant en un travail sans activité physique importante au niveau des membres supérieures et non exposé au froid.</w:t>
      </w:r>
    </w:p>
    <w:p>
      <w:r>
        <w:rPr>
          <w:b/>
        </w:rPr>
        <w:t>E. 8.2.3</w:t>
      </w:r>
    </w:p>
    <w:p>
      <w:r>
        <w:t>Par ailleurs, lors de l’allocation de la rente limitée dans le temps, fi- gurait également au dossier le rapport du 8 juin 2017 (OAIE pce 141 p. 55) du Dr O ._______(neurologue ; ci-après : le Dr O._______), retenant les diagnostics d’épicondylite radiale avec lésion du nerf interosseux posté- rieur à droite et de syndrome du tunnel carpien à droite.</w:t>
      </w:r>
    </w:p>
    <w:p>
      <w:r>
        <w:rPr>
          <w:b/>
        </w:rPr>
        <w:t>E. 8.2.4</w:t>
      </w:r>
    </w:p>
    <w:p>
      <w:r>
        <w:t>De surcroît, un rapport d’évaluation interdisciplinaire de la Clinique romande de réadaptation (ci-après : la CRR) rédigé par les Drs P ._______(neurologue, ci-après : le Dr P._______) et Q ._______ (médecin généraliste ; ci-après le Dr Q ._______) du 12 juillet 2018 (OAIE pce 141 p. 30 ss) était également présent au dossier. Les médecins précités ont retenu les diagnostics primaires suivants : - Douleurs persistantes du coude droit après : • cure d'épicondylite radiale avec décompression du nerf interosseux supérieur, • associées à une décompression du nerf médian à droite,</w:t>
      </w:r>
    </w:p>
    <w:p>
      <w:r>
        <w:t>C-5634/2021 Page 16 • associées à une libération du nerf cubital le 18 juillet 2017. Par ailleurs, le rapport précité retient, en tant que comorbidité, un syndrome d’extension douloureuse cervico-brachiale droite. Lors de l’évaluation, un entretien psychiatrique a eu lieu avec le Dr R._______ (psychiatre ; ci-après : le Dr R ._______; OAIE pce 141 p. 35 s. et 56 ss), dont il ressort l’absence de troubles formels de la pensée, des capacités de concentration préservées, l’absence de symptômes phobiques, obsessionnels, compulsifs ou délirants, ainsi que de troubles des perceptions. Par ailleurs, le rapport fait état d’un patient euthymique, ne verbalisant aucune idée de dévalorisation, de culpabilité, d’idée noire ou suicidaire ni de sentiment de détresse.</w:t>
      </w:r>
    </w:p>
    <w:p>
      <w:r>
        <w:rPr>
          <w:b/>
        </w:rPr>
        <w:t>E. 8.3.1</w:t>
      </w:r>
    </w:p>
    <w:p>
      <w:r>
        <w:t>Dans le cadre de la nouvelle demande de prestations – ayant abouti à la décision dont est recours – les nouvelles pièces médicales suivantes ont notamment été produites et versées au dossier (cf. aussi ci-dessus, let. B.a).</w:t>
      </w:r>
    </w:p>
    <w:p>
      <w:r>
        <w:rPr>
          <w:b/>
        </w:rPr>
        <w:t>E. 8.3.2</w:t>
      </w:r>
    </w:p>
    <w:p>
      <w:r>
        <w:t>Dans son rapport du 14 décembre 2018 (OAIE pce 63 p. 14 s.), la Dre D._______ retient le diagnostic de spondylarthropathie axiale et en- thésitique avec épicondylite radiale et cubitale chronique. Dans le rapport E 213 CH du 25 janvier 2019 (OAIE pce 63), le Dr C._______ mentionne en particulier les symptômes suivants : douleurs au niveau du coude droit et importantes douleurs de type inflammatoire au niveau lombaire. Retenant une incapacité de travail totale dans la dernière activité lucrative exercée, le médecin estime que l’assuré peut exercer, à temps plein, une activité lucrative adaptée, soit un travail sans exposition au froid, en évitant la flexion, le levage et le port de charges fréquents ainsi que la montée d’escaliers, d’échelles ou de plans inclinés, en alternant les postures, la marche et les stations debout et assise.</w:t>
      </w:r>
    </w:p>
    <w:p>
      <w:r>
        <w:rPr>
          <w:b/>
        </w:rPr>
        <w:t>E. 8.3.3</w:t>
      </w:r>
    </w:p>
    <w:p>
      <w:r>
        <w:t>Dans son rapport du 8 mars 2019 (OAIE pce 129), la Dre D._______ indique notamment que les traitements anti-inflammatoires d’Arcoxia, puis Celebrex, se sont avérés efficaces initialement durant deux à trois se- maines, toutefois avec une perte d’efficacité secondaire. Un nouveau trai- tement a donc été débuté (Simponi), dont l’efficacité ne peut pas encore être évaluée. Et la médecin de souligner que le pronostic est bon en cas de reconversion professionnelle dans un travail respectant les limitations fonctionnelles du recourant. Par ailleurs, la Dre D._______ ajoute que la</w:t>
      </w:r>
    </w:p>
    <w:p>
      <w:r>
        <w:t>C-5634/2021 Page 17 chronicité des symptômes peut être un facteur défavorable quant à la gué- rison de l’épicondylite latérale et médiale.</w:t>
      </w:r>
    </w:p>
    <w:p>
      <w:r>
        <w:rPr>
          <w:b/>
        </w:rPr>
        <w:t>E. 8.3.4</w:t>
      </w:r>
    </w:p>
    <w:p>
      <w:r>
        <w:t>Dans son appréciation médicale du 3 avril 2019 (OAIE pce 131), le Dr S ._______ (spécialiste en médecine du travail auprès de la Caisse na- tionale suisse d’assurance en cas d’accidents [SUVA] ; ci-après : le Dr S._______) indique notamment la présence, à partir de l’été 2017, d’im- portantes douleurs au niveau de l’épicondyle droit associées à des cervico- dorso-lombalgies avec un horaire inflammatoire et associées à une raideur matinale de 2 heures et des réveils nocturnes.</w:t>
      </w:r>
    </w:p>
    <w:p>
      <w:r>
        <w:rPr>
          <w:b/>
        </w:rPr>
        <w:t>E. 8.3.5</w:t>
      </w:r>
    </w:p>
    <w:p>
      <w:r>
        <w:t>Dans le formulaire E 213 ES du 18 septembre 2020 (OAIE pce 7), la Dre F._______ mentionne la prise occasionnelle de médicaments anti-in- flammatoires non stéroïdiens – dont l’efficacité est partielle – et de Palexia le soir. Comme diagnostic principal, la Dre F._______ retient une spondy- lite ankylosante axiale et périphérique, traitée notamment par injections de Cosentyx 150 mg toutes les quatre semaines. Et la Dre F._______ d’ajou- ter que l’intéressé peut exercer un travail léger, en évitant la flexion, le le- vage et le port de charges fréquents ainsi que les travaux avec risque de chute. Pour ce qui est de la dernière activité lucrative exercée, il ressort du rapport E 213 ES qu’elle n’est plus exigible, étant précisé que ce rapport indique que les limitations fonctionnelles affectant l’assuré perdurent de- puis 2012.</w:t>
      </w:r>
    </w:p>
    <w:p>
      <w:r>
        <w:rPr>
          <w:b/>
        </w:rPr>
        <w:t>E. 8.3.6</w:t>
      </w:r>
    </w:p>
    <w:p>
      <w:r>
        <w:t>Le rapport de la Dre T._______ (ci-après: la Dre T._______) du 28 octobre 2020 (OAIE pce 83) fait notamment état d’une infection respiratoire légère par COVID-19.</w:t>
      </w:r>
    </w:p>
    <w:p>
      <w:r>
        <w:rPr>
          <w:b/>
        </w:rPr>
        <w:t>E. 8.3.7</w:t>
      </w:r>
    </w:p>
    <w:p>
      <w:r>
        <w:t>Dans son rapport du 22 décembre 2020 (OAIE pce 88), la Dre G._______ fait en particulier état d’une rigidité matinale axiale et dans les mains de plus d’une heure et lors des changements de position.</w:t>
      </w:r>
    </w:p>
    <w:p>
      <w:r>
        <w:rPr>
          <w:b/>
        </w:rPr>
        <w:t>E. 8.3.8</w:t>
      </w:r>
    </w:p>
    <w:p>
      <w:r>
        <w:t>Dans son rapport du 9 septembre 2021 (OAIE pce 150), le Dr J._______ retient les pathologies suivantes : syndrome du tunnel carpien, épicondylite, épitrochléite, spondylite ankylosante et spondylarthrose gé- néralisée de la colonne vertébrale, à prédominance lombaire. Le médecin précise que les affections précitées sont chroniques et irréversibles depuis 2017 (OAIE pce 150 p. 2) et ne peuvent être traitées que de manière pal- liative. Et le Dr J._______ d’ajouter que ces pathologies provoquent des limitations fonctionnelles sévères dans l’exercice de toute activité lucrative requérant l’utilisation du membre supérieur droit, des deux poignets, des genoux et de la colonne vertébrale. De surcroît, le médecin souligne que</w:t>
      </w:r>
    </w:p>
    <w:p>
      <w:r>
        <w:t>C-5634/2021 Page 18 l’exercice d’une activité lucrative ou de tâches de la vie quotidienne néces- sitant des déplacements continus et des mouvements répétés de plus de quatre heures, aura comme conséquence l’aggravation du cadre clinique.</w:t>
      </w:r>
    </w:p>
    <w:p>
      <w:r>
        <w:rPr>
          <w:b/>
        </w:rPr>
        <w:t>E. 8.4</w:t>
      </w:r>
    </w:p>
    <w:p>
      <w:r>
        <w:t>Le Tribunal de céans constate que le cadre clinique et l’état de santé du recourant ont évolué entre la dernière décision entrée en force du 14 novembre 2018 – reposant sur un examen matériel du droit à la rente – et la date de la décision litigieuse. En effet, dans ses prises de position de juillet 2018, le médecin du SMR ne retenait que les diagnostics d’épicondylite radiale droite et une lésion du nerf interosseux – provoquant des limitations fonctionnelles affectant le membre supérieur droit – et ce sur la base d’un dossier médical mettant notamment en exergue la chronicisation de l’épicondylite (opérée en juillet 2017), un syndrome du tunnel carpien à droite et l’absence d’affection psy- chiatrique. Ce n’est que postérieurement à la date de la décision du 14 novembre 2018 que le diagnostic de spondylite ankylosante sera mis en exergue, alors que la présence de cette maladie rhumatismale n’avait pas été mentionnée par le médecin du SMR, dans le cadre de la première de- mande de prestations. De surcroît, l’augmentation des douleurs lombaires et l’apparition de polyarthralgies au niveau des genoux notamment (cf. ci- dessus, let. B.a) sont autant d’éléments permettant de retenir, au degré de la vraisemblance prépondérante, une aggravation de l’état de santé de l’as- suré depuis la décision du 14 novembre 2018. Il s’agit ainsi de déterminer si la péjoration des pathologies justifie l’octroi d’une rente d’invalidité selon l’art. 17 LPGA.</w:t>
      </w:r>
    </w:p>
    <w:p>
      <w:r>
        <w:rPr>
          <w:b/>
        </w:rPr>
        <w:t>E. 8.5.1</w:t>
      </w:r>
    </w:p>
    <w:p>
      <w:r>
        <w:t>Selon l’appréciation du Dr L ._______ – sur laquelle s’est fondée l’autorité inférieure dans le cadre de la nouvelle demande de prestations (cf. ci-dessus, let. B.e ss ; OAIE pce 153) – la spondylite gêne notamment le recourant, qui nécessite une heure le matin pour démarrer la journée, et ce malgré la médication administrée, étant rappelé que l’intéressé a des douleurs au niveau de la colonne vertébrale et lombaire et qu’il est limité dans la marche, compte tenu de la gonarthrose bilatérale. A cause de l’ag- gravation des problèmes de santé, l’incapacité de travail retenue dans l’exercice d’une activité adaptée n’est plus nulle – comme c’était le cas lors du rejet de la première demande de prestations – mais de 30 %, et ce dans le respect des limitations fonctionnelles mentionnées dans la décision liti- gieuse (cf. ci-dessus, let. B.g). Par ailleurs, le Dr L._______ précise, dans sa prise de position du 19 octobre 2021, pour justifier la péjoration de la</w:t>
      </w:r>
    </w:p>
    <w:p>
      <w:r>
        <w:t>C-5634/2021 Page 19 capacité de travail de l’intéressé, que l’horaire de travail médicalement exi- gible est de 6 heures par jour, avec des pauses de 10 minutes au besoin. Comme date d’aggravation de l’état de santé, le médecin du service médi- cal interne de l’OAIE retient le 6 août 2020, date qui correspond à celle du rapport de l’Hôpital K ._______cité dans le rapport du Dr J._______ du 9 septembre 2021 (OAIE pce 150 p. 14 s). Le rapport du 6 août 2020 précité fait notamment état d’un patient se plaignant d’une aggravation de son état de santé depuis un mois et d’une raideur matinale durant plus d’une heure.</w:t>
      </w:r>
    </w:p>
    <w:p>
      <w:r>
        <w:rPr>
          <w:b/>
        </w:rPr>
        <w:t>E. 8.5.2</w:t>
      </w:r>
    </w:p>
    <w:p>
      <w:r>
        <w:t>En particulier, le Dr L ._______ retient une péjoration des limitations fonctionnelles, entravant l’assuré dans l’exercice d’une activité adaptée à son état de santé. En effet, si le Dr M ._______ne retenait que des limita- tions au niveau du membre supérieur droit, il en va différemment dans le cadre de la nouvelle demande de prestations, les douleurs lombaires et la gonarthrose bilatérale gênant de façon supplémentaire le recourant dans l’accomplissement d’un travail physiquement léger. Il reste à déterminer le taux de l’incapacité de travail dans une activité lucrative adaptée.</w:t>
      </w:r>
    </w:p>
    <w:p>
      <w:r>
        <w:rPr>
          <w:b/>
        </w:rPr>
        <w:t>E. 8.5.3</w:t>
      </w:r>
    </w:p>
    <w:p>
      <w:r>
        <w:t>Le Tribunal constate qu’aucune des pièces médicales présentes au dossier ne permet de retenir une incapacité de travail totale dans toute activité lucrative. Au contraire, les Drs C._______, D._______, F._______ et J._______(cf. ci-dessus, consid. 8.3.2 ss) considèrent que le recourant peut exercer une activité lucrative tenant compte des affections précitées – qui sont consolidées et stabilisées – affectant les membres supérieurs et inférieurs ainsi que la colonne vertébrale et lombaire. Les pathologies du recourant, devenues chroniques et résistant aux traitements (cf. ci-dessus, consid. 8.3.5 et 8.3.8), sont documentées et ont été prises en considération par le Dr L ._______, disposant d’un dossier médical complet sur lequel il a pu prendre position (cf. ci-dessus, consid. 7.3.3), dossier ne contenant pas d’avis médicaux contradictoires. En effet, les médecins précités s’ac- cordent à reconnaître des limitations fonctionnelles ayant leur origine dans les affections somatiques, dont une importante maladie rhumatismale, de l’intéressé, qui est quoi qu’il en soit en mesure d’exercer un métier adapté. En particulier, le rapport du Dr J._______ du 9 septembre 2021 (cf. ci-des- sus, consid. 8.3.8), bien qu’il souligne la sévérité des limitations fonction- nelles, met en exergue la possibilité pour le recourant d’effectuer une acti- vité lucrative légère, pourvu que les déplacements et les mouvements ré- pétés de plus de quatre heures soient évités. Aussi, le Tribunal tient pour établi au degré de la vraisemblance prépondérante que seule une activité ménageant le membre supérieur droit, les poignets, les genoux et la co- lonne lombaire et vertébrale peut être exercée.</w:t>
      </w:r>
    </w:p>
    <w:p>
      <w:r>
        <w:t>C-5634/2021 Page 20</w:t>
      </w:r>
    </w:p>
    <w:p>
      <w:r>
        <w:rPr>
          <w:b/>
        </w:rPr>
        <w:t>E. 8.5.4</w:t>
      </w:r>
    </w:p>
    <w:p>
      <w:r>
        <w:t>C’est ainsi à bon droit que le médecin du service médical interne de l’OAIE a tenu compte des nouvelles limitations fonctionnelles et de leur répercussion sur la capacité de travail de l’assuré. Ce dernier, qui ne peut plus exercer sa dernière activité lucrative d’aide-électricien, subit égale- ment une réduction de sa capacité de travail dans l’exercice d’un travail plus léger. Gêné dans ses déplacements et ses postures, souffrant d’une raideur chronique au niveau des mains, le recourant a besoin de temps pour démarrer la journée et doit pouvoir faire des pauses supplémentaires durant son travail. Le Tribunal de céans se rallie à l’avis du Dr L ._______, ayant pleine valeur probante car il se fonde sur un dossier médical étayé contenant des appréciations médicales résultant d'un examen personnel de l'assuré et permet l'établissement non lacunaire de l'état de santé sta- bilisé de celui-ci. En d’autres termes, les autres pièces au dossier – éma- nant de spécialistes qui ont examiné l’assuré et fourni des appréciations complètes et motivées – ne permettant pas de retenir, au degré de la vrai- semblance prépondérante, une réduction plus importante de la capacité de travail dans une activité respectant les limitations fonctionnelles susmen- tionnées (cf. ci-dessus, let B.g).</w:t>
      </w:r>
    </w:p>
    <w:p>
      <w:r>
        <w:rPr>
          <w:b/>
        </w:rPr>
        <w:t>E. 8.5.5</w:t>
      </w:r>
    </w:p>
    <w:p>
      <w:r>
        <w:t>Il découle de ce qui précède que l’autorité inférieure pouvait se fonder sur l’avis du Dr L ._______ pour statuer sur la nouvelle demande de pres- tations, dans le respect de l’art. 17 LPGA (cf. ci-dessus, consid. 6.5.2), le médecin du service médical interne de l’OAIE disposant de rapports cohé- rents et motivés de spécialistes ayant examiné l’assuré et tenant notam- ment compte de ses plaintes et son anamnèse. Il sied également de préci- ser qu’aucune pièce au dossier n’indique que le diabète, l’infection par CO- VID-19 et la dyslipidémie familiale augmentent l’incapacité de travail du recourant dans l’exercice d’une activité lucrative légère, si bien que le Tri- bunal de céans retient, au degré de la vraisemblance prépondérante, que ces pathologies n’ont aucune répercussion sur la capacité de travail de l’assuré. En ce qui concerne les pièces produites en procédure de recours et postérieures à la décision entreprise (cf. ci-dessus, let. C.b), dans la me- sure où elles doivent être prises en compte car elles portent sur l’état de santé du recourant tel qu’il était avant la date de la décision litigieuse et où elles n’ont pas de valeur probante (cf. ci-dessus, consid. 4.2), ne sont pas de nature à remettre en question la décision litigieuse. En particulier, les Drs U._______ et V._______ ne font pas état de pathologies qui auraient été ignorées par le service médical interne de l’OAIE. De surcroît, le rapport du Dr V._______ du 20 février 2022 indique certes des limitations fonction- nelles importantes, mais celles-ci n’empêchent pas le recourant, au degré de la vraisemblance prépondérante, d’exercer une activité adaptée à son état de santé.</w:t>
      </w:r>
    </w:p>
    <w:p>
      <w:r>
        <w:t>C-5634/2021 Page 21</w:t>
      </w:r>
    </w:p>
    <w:p>
      <w:r>
        <w:rPr>
          <w:b/>
        </w:rPr>
        <w:t>E. 8.5.6</w:t>
      </w:r>
    </w:p>
    <w:p>
      <w:r>
        <w:t>Le Tribunal de céans retient ainsi, au degré de la vraisemblance pré- pondérante, une incapacité de travail de 30 % dans l’exercice d’une activité lucrative adaptée, étant précisé que le recourant travaillerait à 100 % sans atteinte à la santé (cf. questionnaire rempli par l’assuré en date du 1er mars 2021 [OAIE pce 90 p. 5]), si bien que c’est à juste titre que l’OAIE a appli- qué la méthode ordinaire de comparaison des revenus (cf. ci-dessus, con- sid. 6.4).</w:t>
      </w:r>
    </w:p>
    <w:p>
      <w:r>
        <w:rPr>
          <w:b/>
        </w:rPr>
        <w:t>E. 8.5.7</w:t>
      </w:r>
    </w:p>
    <w:p>
      <w:r>
        <w:t>En ce qui concerne la comparaison des revenus du 26 octobre 2021, le Tribunal n’identifie pas d’éléments du calcul l’incitant à procéder à un examen plus approfondi de celui-ci, qui est dès lors correct (cf. ci-dessus, consid. 3, dernière phrase), étant précisé que le recourant n’a pas contesté ladite comparaison des revenus. Aussi, le Tribunal retient-il un taux d’inva- lidité de 28 % – compte tenu d’un salaire sans invalidité de Fr. 5'527.78 et d’un revenu d’invalide (pour une activité exercée à 70%) de Fr. 3'953.05 – , soit un taux d’invalidité insuffisant pour ouvrir le droit à une rente (cf. ci- dessus, consid. 6.2 s.).</w:t>
      </w:r>
    </w:p>
    <w:p>
      <w:r>
        <w:rPr>
          <w:b/>
        </w:rPr>
        <w:t>E. 8.29</w:t>
      </w:r>
    </w:p>
    <w:p>
      <w:r>
        <w:t>sera versé au recourant avec l’entrée en force du présent arrêt.</w:t>
      </w:r>
    </w:p>
    <w:p>
      <w:r>
        <w:rPr>
          <w:b/>
        </w:rPr>
        <w:t>E. 9</w:t>
      </w:r>
    </w:p>
    <w:p>
      <w:r>
        <w:t>Il résulte de ce qui précède que le recours doit être rejeté et la décision du 16 novembre 2021 confirmée.</w:t>
      </w:r>
    </w:p>
    <w:p>
      <w:r>
        <w:rPr>
          <w:b/>
        </w:rPr>
        <w:t>E. 10.1</w:t>
      </w:r>
    </w:p>
    <w:p>
      <w:r>
        <w:t>Vu l'issue du litige, les frais judiciaires – fixés à Fr. 800.- – sont mis à la charge du recourant (art. 63 PA en relation avec les art. 2 ss du règle- ment du 21 février 2008 concernant les frais, dépens et indemnités fixés par le Tribunal administratif fédéral [FITAF, RS 173.320.2]). Ils sont com- pensés avec l'avance de frais de Fr. 808.29 dont il s'est acquitté au cours de l'instruction (TAF pces 10 et 13). L’excédent d’avance de frais de Fr.</w:t>
      </w:r>
    </w:p>
    <w:p>
      <w:r>
        <w:rPr>
          <w:b/>
        </w:rPr>
        <w:t>E. 10.2</w:t>
      </w:r>
    </w:p>
    <w:p>
      <w:r>
        <w:t>Vu l’issue du litige, il n'est pas alloué d'indemnité de dépens (art. 7 al. 3 FITAF).</w:t>
      </w:r>
    </w:p>
    <w:p>
      <w:r>
        <w:t>C-5634/2021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