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C-5632/2012 vom 25. November 2013</w:t>
      </w:r>
    </w:p>
    <w:p>
      <w:r>
        <w:t>Bundesverwaltungsgericht, 2013-11-25, FR</w:t>
      </w:r>
    </w:p>
    <w:p>
      <w:r>
        <w:rPr>
          <w:b/>
        </w:rPr>
        <w:t xml:space="preserve">Quelle: </w:t>
      </w:r>
      <w:r>
        <w:t>https://mcp.opencaselaw.ch/entscheid/bvger_C-5632_2012</w:t>
      </w:r>
    </w:p>
    <w:p>
      <w:r>
        <w:t>FR: TAF C-5632/2012 du 25 novembre 2013</w:t>
      </w:r>
    </w:p>
    <w:p>
      <w:r>
        <w:t>IT: TAF C-5632/2012 del 25 novembre 2013</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Bâle 2008, p. 181, ad ch. 3.197). Aussi peut-elle admettre ou rejeter le pourvoi pour d'autres motifs que ceux invoqués. Dans le cadre de la procédure de recours, le Tribunal applique d'office le droit fédéral. Dans son arrêt, il prend en considération l'état de fait régnant au moment où il statue (cf. ATAF 2012/43 consid. 5.1 et 2011/43 consid. 6.1).</w:t>
      </w:r>
    </w:p>
    <w:p>
      <w:r>
        <w:rPr>
          <w:b/>
        </w:rPr>
        <w:t>E. 3</w:t>
      </w:r>
    </w:p>
    <w:p>
      <w:r>
        <w:t>Le recourant a allégué, sur un plan formel, que la décision de l'ODM consacrait une violation du droit d'être entendu, au motif qu'il n'aurait pas eu l'occasion de se déterminer avant le prononcé de la décision attaquée.</w:t>
      </w:r>
    </w:p>
    <w:p>
      <w:r>
        <w:rPr>
          <w:b/>
        </w:rPr>
        <w:t>E. 3.1</w:t>
      </w:r>
    </w:p>
    <w:p>
      <w:r>
        <w:t>La jurisprudence du Tribunal fédéral a déduit du droit d'être entendu, garanti par l'art. 29 al. 2 de la Constitution fédérale de la Confédération suisse du 18 avril 1999 (Cst., RS 101)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Traité de droit administratif, Neuchâtel 1984, vol. I, p. 380ss). Le droit d'être entendu est consacré, en procédure administrative fédérale, notamment par les art. 29 à 33 (droit d'être entendu stricto sensu) et l'art. 35 PA (droit d'obtenir une décision motivée).</w:t>
      </w:r>
    </w:p>
    <w:p>
      <w:r>
        <w:rPr>
          <w:b/>
        </w:rPr>
        <w:t>E. 3.2</w:t>
      </w:r>
    </w:p>
    <w:p>
      <w:r>
        <w:t>S'agissant du droit d'être entendu stricto sensu, l'art. 30 al. 1 PA prévoit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w:t>
      </w:r>
    </w:p>
    <w:p>
      <w:r>
        <w:rPr>
          <w:b/>
        </w:rPr>
        <w:t>E. 3.3</w:t>
      </w:r>
    </w:p>
    <w:p>
      <w:r>
        <w:t>Dans le cas d'espèce, il ressort des pièces du dossier qu'avant le prononcé de la décision d'interdiction d'entrée du 24 juillet 2012, le recourant a été interpellé par la Police cantonale fribourgeoise et que, lors de son audition du 23 juillet 2012, il a été expressément rendu attentif au fait que l'autorité compétente examinerait l'opportunité de prononcer une mesure d'éloignement à son endroit, au vu des faits qui lui étaient reprochés. Il s'est alors borné à relever qu'il n'avait rien à ajouter aux déclarations qu'il venait de faire.</w:t>
      </w:r>
    </w:p>
    <w:p>
      <w:r>
        <w:rPr>
          <w:b/>
        </w:rPr>
        <w:t>E. 3.4</w:t>
      </w:r>
    </w:p>
    <w:p>
      <w:r>
        <w:t>En tout état de cause, à supposer même que le grief tiré de la violation du droit d'être entendu ne puisse pas d'emblée être écarté, ce vice devrait être considéré comme guéri. Tel est en effet le cas, conformément à une jurisprudence constante, lorsque l'administré a eu la possibilité de s'expliquer librement devant une autorité de recours, dont la cognition est aussi étendue que celle de l'autorité inférieure (cf. ATF 134 I 140 consid. 5.5, 133 I 201 consid. 2.2, 129 I 129 consid. 2.2.3). En l'espèce, les possibilités offertes à A._______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En outre, le recourant a eu la faculté de présenter tous ses moyens au cours de la présente procédure. En conséquence, le grief de violation du droit d'être entendu doit être écarté.</w:t>
      </w:r>
    </w:p>
    <w:p>
      <w:r>
        <w:rPr>
          <w:b/>
        </w:rPr>
        <w:t>E. 4.1</w:t>
      </w:r>
    </w:p>
    <w:p>
      <w:r>
        <w:t>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durée plus longue lorsque la personne concernée constitue une menace grave pour la sécurité et l'ordre publics (art. 67 al. 3 LEtr). Sur la portée territoriale de cette mesure concernant les personnes non-ressortissantes d'un Etat partie aux Accords d'association à Schengen, il y a lieu de se référer à l'arrêt du Tribunal C-1667/2010 du 21 mars 2011 (consid. 3.3).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Lorsqu'une décision d'interdiction d'entrée au sens de l'art. 67 LEtr est prononcée, comme en l'espèce, à l'endroit d'une personne non-ressortissante de l'un des Etats parties aux Accords d'association à Schengen (lesquels sont énumérés à l'annexe 1 chiffre 1 de la LEtr), cette personne - conformément, d'une part, au règlement (CE) no 1987/2006 du 20 décembre 2006 sur l'établissement, le fonctionnement et l'utilisation du système d'information Schengen de deuxième génération (SIS II, JO L 381 du 28 décembre 2006 p. 4 à 23) entré en vigueur le 9 avril 2013 et abrogeant (cf. la décision du Conseil 2013/158/EU du 7 mars 2013, JO L 87 p. 10 et 11 en relation avec l'art. 52 par. 1 du règlement SIS II) en particulier l'art. 94 par. 1 et l'art. 96 de la Convention d'application de l'accord de Schengen (CAAS, JO L 239 du 22 septembre 2000 p. 19 à 62) et, d'autre part, à l'art. 16 al. 2 et 4 de la loi fédérale du 13 juin 2008 sur les systèmes d'information de police de la Confédération (LSIP ;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fédéralC-6801/2010 du 1er avril 2011 consid. 4 et C-1667/2010 du 21 mars 2011 consid. 3.3).</w:t>
      </w:r>
    </w:p>
    <w:p>
      <w:r>
        <w:rPr>
          <w:b/>
        </w:rPr>
        <w:t>E. 4.3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Une interdiction d'entrée peut notamment être prononcée lorsque l'étranger a violé les prescriptions du droit en matière d'étrangers (cf. Message précité, FF 2002 3568). Selon la jurisprudence, le fait de séjourner et/ou de travailler en Suisse sans autorisation constitue une violation grave des prescriptions de police des étrangers (cf. arrêt du TAF C-1385/2012 du 14 septembre 2012 consid. 6.4.3 et jurisprudence citée). L'autorité compétente examine selon sa libre appréciation si une interdiction d'entrée doit être prononcée. Elle doit donc procéder à une pondération méticuleuse de l'ensemble des intérêts en présence et respecter le principe de la proportionnalité (cf. Andreas Zünd / Ladina Arquint Hill, Beendigung der Anwesenheit, Entfernung und Fernhaltung, in: Uebersax/ Rudin/ Hugi Yar/ Geiser [éd.], Ausländerrecht, 2ème éd., Bâle 2009, ch. 8.80, p. 356).</w:t>
      </w:r>
    </w:p>
    <w:p>
      <w:r>
        <w:rPr>
          <w:b/>
        </w:rPr>
        <w:t>E. 5.1</w:t>
      </w:r>
    </w:p>
    <w:p>
      <w:r>
        <w:t>En l'occurrence, l'ODM a prononcé à l'encontre de A._______ une décision d'interdiction d'entrée en Suisse fondée sur l'art. 67 LEtr, valable du 3 août 2012 au 2 août 2015, au motif que le prénommé avait attenté gravement à la sécurité et à l'ordre publics en exerçant une activité lucrative en Suisse sans être au bénéfice de l'autorisation requise.</w:t>
      </w:r>
    </w:p>
    <w:p>
      <w:r>
        <w:rPr>
          <w:b/>
        </w:rPr>
        <w:t>E. 5.2</w:t>
      </w:r>
    </w:p>
    <w:p>
      <w:r>
        <w:t>Aux termes de l'art. 11 al. 1 LEtr, tout étranger qui entend exercer en Suisse une activité lucrative doit être titulaire d'une autorisation, quelle que soit la durée de son séjour. En l'espèce, il ressort des propres déclarations du recourant lors de son audition du 23 juillet 2012 par la Police cantonale fribourgeoise qu'il était arrivé en Suisse le 3 juillet 2012 et y avait entrepris le 9 juillet 2012 une activité lucrative auprès de l'entreprises C._______ à Lausanne. Bien que le recourant tente de minimiser les faits ayant motivé le prononcé de la décision attaquée, aucune circonstance atténuante ne saurait être admise en l'espèce. Il est en effet patent que tout étranger est censé s'occuper personnellement du règlement de sa situation et qu'il ne saurait prendre un emploi sans avoir obtenu préalablement l'autorisation qui lui en confère le droit (cf. arrêt du Tribunal C-4717/2012 du 5 avril 2013 consid. 5.2). Il s'impose de relever au surplus que le recourant est entré illégalement en Suisse quelques mois seulement après s'être vu refuser, par le SPOP, l'octroi d'une autorisation d'entrée et de séjour en Suisse. Il ne peut dès lors aucunement se prévaloir d'une quelconque ignorance des dispositions légales en la matière pour justifier son comportement. Au vu de ce qui précède, le recourant, par son comportement contraire au droit (entrée, séjour et travail illégaux) a indiscutablement attenté à la sécurité et à l'ordre publics, les conditions d'application de l'art. 67 al. 2 let. a LEtr étant remplies. Il réalise les conditions légales fixées à l'art. 80 let. a OASA.</w:t>
      </w:r>
    </w:p>
    <w:p>
      <w:r>
        <w:rPr>
          <w:b/>
        </w:rPr>
        <w:t>E. 5.3</w:t>
      </w:r>
    </w:p>
    <w:p>
      <w:r>
        <w:t>Dans son recours, A._______ s'est prévalu de l'art. 8 CEDH, au motif que la décision attaquée l'empêchait d'entretenir des relations avec son épouse domiciliée en Suisse. Il s'impose de relever ici que l'impossibilité pour l'intéressé de mener durablement une vie familiale en Suisse ne résulte pas primairement de la mesure attaquée, mais découle du fait qu'il s'est vu refuser, par les autorités cantonales, l'octroi d'une autorisation de séjour. Dans la mesure où les autorités cantonales ont estimé, après un examen approfondi du dossier, que le mariage du recourant (avec une personne de 23 ans son aînée, après une fréquentation de quelques jours seulement) avait été contracté pour éluder les dispositions sur l'admission et le séjour des étrangers et non pour fonder une communauté conjugale effective, le Tribunal est amené à en conclure que l'intéressé n'est pas fondé à se prévaloir de l'art. 8 CEDH.</w:t>
      </w:r>
    </w:p>
    <w:p>
      <w:r>
        <w:rPr>
          <w:b/>
        </w:rPr>
        <w:t>E. 6.1</w:t>
      </w:r>
    </w:p>
    <w:p>
      <w:r>
        <w:t>Il convient encore d'examiner si la mesure d'éloignement prise par l'ODM, d'une durée de trois ans, satisfait aux principes de la proportionnalité et de l'égalité de traitement. En effet, lorsque l'autorité administrative prononce une interdiction d'entrée, elle doit respecter ces principes et s'interdire tout arbitraire (cf. Grisel, op.cit.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ATF 135 I 176 consid. 8.1, ATF 133 I 110 consid. 7.1, et la jurisprudence citée).</w:t>
      </w:r>
    </w:p>
    <w:p>
      <w:r>
        <w:rPr>
          <w:b/>
        </w:rPr>
        <w:t>E. 6.2</w:t>
      </w:r>
    </w:p>
    <w:p>
      <w:r>
        <w:t>En l'espèce, les faits reprochés au recourant sont clairement établis. L'interdiction d'entrée prononcée à l'endroit de l'intéressé est une mesure administrative de contrôle qui se justifie dans le but de tenir le recourant éloigné de Suisse, où il a contrevenu aux prescriptions légales. Il en va de l'intérêt de l'Etat à voir respecter l'ordre établi et la législation en vigueur (cf. arrêt du Tribunal C-2973/2012 du 27 juin 2013 consid. 5.3.1). Certes, quand bien même la durée du travail sans autorisation reprochée à l'intéressé est relativement brève, à savoir 14 jours (soit du 9 au 23 juillet 2012) lors de son interpellation par la Police cantonale fribourgeoise, il doit cependant être relevé que la démarche de l'intéressé consistant à entrer en Suisse pour y travailler en dépit de la décision de refus d'autorisation d'entrée et de séjour prononcée à son égard le 22 décembre 2011 par le SPOP dénote une volonté évidente de ne pas respecter l'ordre juridique suisse et d'enfreindre sans autre les prescriptions en matière de police des étrangers. L'irrespect manifeste affiché par le recourant vis-à-vis des décisions rendues à son égard par les autorités suisses est encore confirmé par son refus répété de se soumettre aux décisions de renvoi qui ont ensuite été successivement prononcées à son endroit par les autorités fribourgeoises et vaudoises. Aussi, compte tenu de l'ensemble des éléments objectifs et subjectifs de la cause, la mesure d'éloignement querellée est nécessaire, adéquate et proportionnée aux circonstances. Au regard des décisions prises par les autorités dans des cas analogues, elle n'est pas contraire au principe d'égalité de traitement. 7.L'ODM a par ailleurs ordonné l'inscription de l'interdiction d'entrée dans le SIS. Ainsi que cela ressort du dossier, l'intéressé n'est pas un ressortissant de l'un des Etats parties aux accords d'association à Schengen. En raison de ce signalement dans le SIS, il lui est interdit de pénétrer dans l'Espace Schengen. Cette interdiction est justifiée par les circonstances du cas d'espèce (cf. art. 21 en relation avec l'art. 24 al. 2 du règlement SIS II). Elle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consid. 4.2 ci-dessus).</w:t>
      </w:r>
    </w:p>
    <w:p>
      <w:r>
        <w:rPr>
          <w:b/>
        </w:rPr>
        <w:t>E. 8</w:t>
      </w:r>
    </w:p>
    <w:p>
      <w:r>
        <w:t>Dans son recours, A._______ a sollicité son audition dans le cadre de la présente procédure.</w:t>
      </w:r>
    </w:p>
    <w:p>
      <w:r>
        <w:rPr>
          <w:b/>
        </w:rPr>
        <w:t>E. 8.1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notamment ATF 137 II 266 consid. 3.2, 135 I 279 consid. 2.3, 133 I 270 consid. 3.1 et la jurisprudence citée). Le droit d'être entendu ancré à l'art. 29 al. 2 Cst. ne confère cependant pas au justiciable le droit d'être entendu oralement par un tribunal (cf. notammentATF 134 I 140 consid. 5.3 et 130 II 425 consid. 2.1; voir également les arrêts du Tribunal fédéral 8C_749/2011 du 16 août 2012 consid. 4 in fine et 2C_276/2011 du 10 octobre 2011 consid. 2.1), ni celui d'obtenir de cette autorité l'audition de témoins (cf., sur ce second point, notamment ATF 134 et 130 précités, ibid., et arrêt du Tribunal fédéral 2C_646/2010 du 19 décembre 2010 consid. 2.1). En particulier, la partie ne peut exiger d'être entendue oralement en procédure administrative, celle-ci étant en principe écrite (cf. arrêt du Tribunal fédéral 1C_534/2010 du 1er mars 2011 consid. 3.3; voir en outre André Moser, Michael Beusch et Lorenz Kneubühler, Prozessieren vor dem Bundesverwaltungsgericht, Handbücher für die Anwaltspraxis, Tome X, Bâle 2008, p. 144, adch. 3.86). Dès lors, il n'est procédé à l'audition de parties que si de telles mesures d'instruction paraissent indispensables à l'établissement des faits de la cause (cf. ATF 130 précité, ibid.; cf. également l'arrêt du Tribunal fédéral 1C_534/2010 précité, ibid.).</w:t>
      </w:r>
    </w:p>
    <w:p>
      <w:r>
        <w:rPr>
          <w:b/>
        </w:rPr>
        <w:t>E. 8.2</w:t>
      </w:r>
    </w:p>
    <w:p>
      <w:r>
        <w:t>Dans le cas particulier, le Tribunal estime que les faits de la cause sont suffisamment établis par les pièces figurant au dossier, de sorte qu'il ne s'avère pas indispensable de donner suite à la requête formulée par le recourant en vue de son audition.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Tribunal a fondé son appréciation ressortent du dossier et ne nécessitent donc aucun complément d'instruction. 9.En conséquence, le Tribunal est amené à conclure que la décision querellée est conforme au droit (cf. art. 49 PA). Le recours est en conséquence rejeté. Vu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