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C-5629/2009 vom 3. März 2010</w:t>
      </w:r>
    </w:p>
    <w:p>
      <w:r>
        <w:t>Bundesverwaltungsgericht, 2010-03-03, FR</w:t>
      </w:r>
    </w:p>
    <w:p>
      <w:r>
        <w:rPr>
          <w:b/>
        </w:rPr>
        <w:t xml:space="preserve">Quelle: </w:t>
      </w:r>
      <w:r>
        <w:t>https://mcp.opencaselaw.ch/entscheid/bvger_C-5629_2009</w:t>
      </w:r>
    </w:p>
    <w:p>
      <w:r>
        <w:t>FR: TAF C-5629/2009 du 3 mars 2010</w:t>
      </w:r>
    </w:p>
    <w:p>
      <w:r>
        <w:t>IT: TAF C-5629/2009 del 3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Y. _______ et Z._______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l'OPEV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Tchad, X._______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ne faut pas perdre de vue que, depuis plus de trois ans, le Tchad doit faire face, sur le plan interne, aux conséquences de la crise soudanaise du Darfour, qui reste un facteur majeur de déstabilisation, ainsi qu'à des mouvements de rébellion sur son territoire et à des violences inter-ethniques entre groupes arabes et non-arabes dans l'est du pays. En outre, supportant de fortes disparités de développement entre les villes et les campagnes, le Tchad est un pays aux déficiences structurelles réelles. La faiblesse de son produit intérieur brut par habitant (646 $) et de son indice de développement humain (170ème/179) sont les signes d'une économie fragile (source: www.diplomatie.gouv.fr &gt; Pays et zones géo &gt; Tchad &gt; Présentation, mis à jour le 30 juillet 2009, consulté le 9 février 2010). Dès lors, ces conditions socio-économiques, voire politique, particulières ne sont pas sans exercer une pression migratoire importante, cette tendance étant encore renforcée, comme l'expérience l'a démontré, lorsque la personne concernée peut s'appuyer à l'étranger sur un réseau social (parenté)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le Tribunal constate qu'il existe des différences significatives entre les deux formulaires de demandes de visa remplis en 2008 et 2009 par X._______, le mémoire de recours du 7 septembre 2009 et les pièces produites dans le courrier du 2 février 2010 concernant sa situation professionnelle et familiale.</w:t>
      </w:r>
    </w:p>
    <w:p>
      <w:r>
        <w:rPr>
          <w:b/>
        </w:rPr>
        <w:t>E. 8.1</w:t>
      </w:r>
    </w:p>
    <w:p>
      <w:r>
        <w:t>S'agissant de la situation professionnelle, l'invitée, dans le formulaire de demande de visa pour la Suisse qu'elle a rempli et signé de sa main le 19 mai 2008, a indiqué, sous la rubrique profession, qu'elle était ménagère. La copie du passeport qu'elle a produit à l'appui de sa requête - pièce établie le 4 avril 2008 à N'Djamena - présentait la même indication sous cette rubrique. Or, dans la lettre d'invitation des recourants datée du 1er juillet 2008, ces derniers ont allégué que leur invitée bénéficiait « d'un travail stable à la mairie de N'Djamena » et qu'elle ne pouvait donc « s'autoriser à quitter son employeur plus de quelques semaines ». Cette divergence a d'ailleurs été relevée par l'ODM dans la décision de refus d'autorisation d'entrée en Suisse du 26 août 2008, décision qui n'a fait l'objet d'aucun recours. Dans le formulaire de demande de visa Schengen rempli le 4 mai 2009 par l'invitée, cette dernière a précisé qu'elle occupait un poste d'agent à la Mairie de N'Djamena et qu'elle souhaitait un visa pour une durée de 90 jours, soit bien au-delà de la limite qu'elle pouvait s'autoriser selon la lettre d'invitation précitée. Dans le pourvoi du 7 septembre 2009, les recourants ont précisé que leur invitée occupait un poste à la Mairie de N'Djamena depuis sept années (soit depuis 2002), alors que selon l'attestation de l'employeur datée du 6 janvier 2010, X._______ est employée à ladite mairie, en qualité d'agent de recouvrement, depuis le 16 février 2005. Quant au bulletin de paie du mois de décembre 2009, indiquant la fonction et le service de l'invitée, il mentionne comme date d'embauche le mois de février 2009. Devant ces données pour le moins contradictoires, le TAF ne peut qu'émettre de fortes réserves quant à l'authenticité des pièces présentées. En outre, le fait que l'employeur de l'invitée puisse se passer des services d'une de ses employées attitrées durant une période de trois mois, soit durant un laps de temps relativement long, sans que cela ne crée de problèmes d'organisation, conforte le Tribunal dans cette opinion, malgré l'attestation de « droit au congé » du 28 janvier 2010 présentée par les recourants. A ce propos, comme relevé ci-avant (cf. lettre d'invitation du 1er juillet 2008), ces derniers avaient précisément allégué le contraire en soulignant qu'au vu de son « travail stable » leur invitée ne pouvait s'autoriser une longue absence. Au vu de ces éléments, le Tribunal estime que les pièces versées en cause par X._______ et les autres pièces figurant au dossier ne sont pas de nature à établir de manière plausible l'exercice effectif d'une activité professionnelle stable dans son pays d'origine.</w:t>
      </w:r>
    </w:p>
    <w:p>
      <w:r>
        <w:rPr>
          <w:b/>
        </w:rPr>
        <w:t>E. 8.2</w:t>
      </w:r>
    </w:p>
    <w:p>
      <w:r>
        <w:t>S'agissant de la situation familiale, il est à relever que X._______, dans les deux formulaires qu'elle a remplis et signés les 19 mai 2008 et 4 mai 2009, a indiqué qu'elle était divorcée. Dans la lettre d'invitation du 1er juillet 2008, les recourants ont mentionné le fait que leur invitée était mère de deux enfants, information reprise dans le pourvoi du 7 septembre 2009, et complétée en ce sens que les deux enfants étaient majeurs (22 et 25 ans) et vivaient avec cette dernière. Or, selon les annexes du courrier du 2 février 2010, X._______ a contracté mariage en 2007 au centre d'état civil de Dono Manga (cf. copie de l'acte de mariage) avec un compatriote, U._______, avec lequel elle a conçu deux enfants (nés en 1998 et 2002) qui ont été enregistrés le 12 janvier 2010 à l'état civil de N'Djamena suite à un jugement supplétif rendu le 11 janvier 2010. En outre, selon le « certificat de vie et d'entretien » établi le 26 janvier 2010 par l'officier d'état civil de N'Djamena, les deux enfants mineurs sont à la charge de X._______, épouse légitime de U._______. Enfin, le bulletin de paie du mois de décembre 2009 indique que l'invitée est mariée sous la rubrique « situation matrimoniale ». Il est pour le moins troublant que ni X._______, ni les recourants n'aient mentionné l'existence de l'époux et des deux enfants mineurs précités avant l'envoi du courrier du 2 février 2010, alors même que les recourants ont décrit la situation personnelle de leur invitée dans leur lettre d'invitation du 1er juillet 2008 et le pourvoi du 7 septembre 2009. Par ailleurs, selon le bulletin de paie et le « certificat de vie et d'entretien » susmentionnés, X._______ est toujours mariée, ce qui est en complète contradiction avec ce qu'elle a indiqué dans les formulaires de demande de visa remplis en 2008 et 2009. Au vu des déclarations contradictoires et des divergences précitées concernant la situation familiale de l'invitée, le Tribunal ne peut qu'émettre de sérieux doutes quant aux liens affectifs pouvant amener cette dernière à retourner dans son pays d'origine au terme du séjour envisagé en Suisse.</w:t>
      </w:r>
    </w:p>
    <w:p>
      <w:r>
        <w:rPr>
          <w:b/>
        </w:rPr>
        <w:t>E. 9</w:t>
      </w:r>
    </w:p>
    <w:p>
      <w:r>
        <w:t>Dans ces circonstances, il ne peut être exclu que X._______ soit tentée de prolonger son séjour en Suisse, du moins de manière temporaire, en demeurant auprès de ses hôtes. Une telle hypothèse ne présenterait pour elle aucune difficulté majeure sur les plans personnel, familial ou professionnel, compte tenu du fait qu'au vu des divergences et contradictions relevées ci-avant, les recourants n'ont pas démontré de manière convaincante les attaches familiales ou professionnelles pouvant l'amener à retourner dans son pays d'origine en cas de voyage à l'étranger. Enfin, compte tenu du niveau de vie sensiblement plus élevé que présente la Suisse, les autorités helvétiques ne peuvent totalement exclure que l'invitée ne s'efforce, une fois entrée en ce pays, d'obtenir un titre de séjour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lorsqu'on prend la décision de quitter sa patrie. Cette hypothèse peut en l'espèce être d'autant moins écartée que l'invitée dispose en Suisse d'un réseau social bien établi (cf. consid. 7.4).</w:t>
      </w:r>
    </w:p>
    <w:p>
      <w:r>
        <w:rPr>
          <w:b/>
        </w:rPr>
        <w:t>E. 10</w:t>
      </w:r>
    </w:p>
    <w:p>
      <w:r>
        <w:t>Cela étant, le désir exprimé par X._______, au demeurant parfaitement compréhensible, de venir en Suisse pour rendre visite à sa parenté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tchadiens) qui leur sont adressées, les autorités helvétiques doivent prendre en considération le risque résultant du fait que la personne bénéficiant d'un visa d'entrée ne quitte pas la Suisse et l'Espace Schengen au terme de son séjour, au sens de l'art. 5 al. 2 LEtr. Dans ce contexte, lesdites autorités ont été amenées à adopter une politique d'admission restrictive (cf.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12</w:t>
      </w:r>
    </w:p>
    <w:p>
      <w:r>
        <w:t>Par surabondance, il convient encore de noter qu'un refus d'autorisation d'entrée en Suisse prononcé par les autorités helvétiques n'a pas en l'occurrence pour conséquence d'empêcher X._______ et sa parenté vivant en Suisse de se voir, les intéressés pouvant tout aussi bien se rencontrer hors de Suisse, nonobstant les inconvénients d'ordre pratique ou de convenance personnelle que cela pourrait engendrer.</w:t>
      </w:r>
    </w:p>
    <w:p>
      <w:r>
        <w:rPr>
          <w:b/>
        </w:rPr>
        <w:t>E. 13</w:t>
      </w:r>
    </w:p>
    <w:p>
      <w:r>
        <w:t>Au vu de l'ensemble des circonstances, le Tribunal estime qu'il ne saurait être reproché à l'ODM d'avoir considéré que le départ de X._______ à l'échéance du visa requis n'était pas suffisamment assuré et, partant, d'avoir refusé la délivrance d'une autorisation d'entrée dans l'Espace Schengen en sa faveur.</w:t>
      </w:r>
    </w:p>
    <w:p>
      <w:r>
        <w:rPr>
          <w:b/>
        </w:rPr>
        <w:t>E. 14</w:t>
      </w:r>
    </w:p>
    <w:p>
      <w:r>
        <w:t>Compte tenu des considérants exposés ci-dessus, il appert que, par sa décision du 6 août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