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C-5620/2020 vom 22. Dezember 2022</w:t>
      </w:r>
    </w:p>
    <w:p>
      <w:r>
        <w:t>Bundesverwaltungsgericht, 2022-12-22, DE</w:t>
      </w:r>
    </w:p>
    <w:p>
      <w:r>
        <w:rPr>
          <w:b/>
        </w:rPr>
        <w:t xml:space="preserve">Quelle: </w:t>
      </w:r>
      <w:r>
        <w:t>https://mcp.opencaselaw.ch/entscheid/bvger_C-5620_2020</w:t>
      </w:r>
    </w:p>
    <w:p>
      <w:r>
        <w:t>FR: TAF C-5620/2020 du 22 décembre 2022</w:t>
      </w:r>
    </w:p>
    <w:p>
      <w:r>
        <w:t>IT: TAF C-5620/2020 del 22 dicembre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9. Oktober 2020, mit welcher im Rahmen der dreijährlichen Überprüfung der Aufnahmebedingungen der Publikums- preis (PP) von B._______ Oral per 1. Dezember 2020 gesenkt wurde (Sen- kungssatz FAP auf der umsatzstärksten Packung: -[…] %). Prozessthema bildet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w:t>
      </w:r>
    </w:p>
    <w:p>
      <w:r>
        <w:t>C-5620/2020 Seite 6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(www.bag.admin.ch &gt; Versicherun- gen &gt; Krankenversicherung &gt; Bezeichnung der Leistungen &gt; Antragspro- zesse &gt; Antragsprozesse Arzneimittel, zuletzt besucht am 14. November 2022, nachfolgend: SL-Handbuch) erlassen, bei dem es sich um eine Ver- waltungsverordnung handelt, also um eine generalisierte Dienstanwei- sung, welche der Gewährleistung einer einheitlichen, verhältnismässigen Verwaltungspraxis und der Sicherstellung der willkürfreien und rechtsglei- chen Behandlung dient (vgl. etwa RHINOW/KOLLER/KISS, Öffentliches Pro- zessrecht und Justizverfassungsrecht des Bundes, 1996, Rz. 1038; Urteil des Bundesverwaltungsgerichts [BVGer] C-2095/2006 vom 9. April 2007 E. 3.5).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129 V 67 E. 1.1.1 mit Hinweisen).</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t>C-5620/2020 Seite 7</w:t>
      </w:r>
    </w:p>
    <w:p>
      <w:r>
        <w:rPr>
          <w:b/>
        </w:rPr>
        <w:t>E. 3.5</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9. Oktober 2020 geltenden materiellen Bestimmungen (vgl. Urteil des BVGer C-5912/2013 vom 30. April 2015 [nicht in BVGE 2015/51 publi- zierte] E. 2.3). Dazu gehören neben dem KVG (SR 832.10; in der ab 1. Ja- nuar 2020 gültigen Fassung), insbesondere die KVV (SR 832.102; in der ab 1. Januar 2020 gültigen Fassung) und die KLV (SR 832.112.31; in der ab 1. Oktober 2020 gültigen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t>C-5620/2020 Seite 8 BGE 139 V 375 E. 4.2 mit Hinweisen).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 mit Hinweis auf BGE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Gemäss bundesgerichtlicher Rechtsprechung (BGE 143 V 369 E. 6) ist die gültige Zulassung des Schweizerischen Heilmittelinstituts Swissme- dic notwendige, aber nicht hinreichende Bedingung für die Aufnahme eines Arzneimittels in die Spezialitätenliste. Swissmedic erteilt nach Prüfung ins- besondere der Qualität, der Sicherheit und der Wirksamkeit des Arzneimit- tels die heilmittelrechtliche Zulassung ausdrücklich für definierte Indikatio- nen oder Anwendungsgebiete und genehmigt ferner auch die entspre- chende Arzneimittelinformation. Eine Aufnahme in die Spezialitätenliste ist nur in den Grenzen der Indikationen und Anwendungsvorschriften gemäss Swissmedic-Zulassung möglich. Das BAG seinerseits prüft, ob die WZW- Kriterien erfüllt sind und entscheidet über die Aufnahme in die Spezialitä- tenliste. Angesichts dieser doppelstufigen Zulassungsprüfung, wobei ent- scheidend ist, dass die nachgelagerte SL-Zulassung namentlich in Bezug auf die Indikationen nicht weitergehen darf als die heilmittelrechtliche Zu- lassung, muss das BAG auf die Swissmedic-Zulassung bzw. die Fachin- formationen abstellen können. In diesem Zusammenhang ist zu beachten, dass Swissmedic die zugelas- senen Arzneimittel und damit einhergehend auch die Fachinformationen periodisch sowie nach jeweils fünf Jahren anlässlich der Erneuerung der</w:t>
      </w:r>
    </w:p>
    <w:p>
      <w:r>
        <w:t>C-5620/2020 Seite 9 Zulassung überprüft (vgl. Art. 28 Satz 1 der Verordnung vom 21. Septem- ber 2018 über die Arzneimittel [Arzneimittelverordnung, VAM; SR 812.212.2]). Mithin ist davon auszugehen, dass die Indikations- und Diag- noseformulierungen somit regelmässig auf den neusten Stand gebracht werden (vgl. BGE 147 V 470 E. 4.2.1 f.). Bei der Beurteilung der Wirtschaft- lichkeit kann auch die Patienteninformation konsultiert werden (Urteile des BVGer C-6598/2018 vom 8. April 2022 E. 7; C-6596/2018 vom 15. März 2022 E. 8.2), welche ebenfalls von Swissmedic eingehend geprüft wird (Ur- teile des BVGer C-6601/2018 vom 17. November 2021 E. 6.4.1; C-6605/2018 vom 4. November 2021 E. 6.5.1).</w:t>
      </w:r>
    </w:p>
    <w:p>
      <w:r>
        <w:rPr>
          <w:b/>
        </w:rPr>
        <w:t>E. 4.4.4</w:t>
      </w:r>
    </w:p>
    <w:p>
      <w:r>
        <w:t>Ein Arzneimittel gilt nach Art. 65b KVV («Beurteilung der Wirtschaft- lichkeit»; in der Fassung gemäss der Änderung vom 1. Februar 2017, in Kraft seit 1. März 2017; AS 2017 623) als wirtschaftlich, wenn es die indi- zierte Heilwirkung mit möglichst geringem finanziellem Aufwand gewähr- leistet (Abs. 1). Die Wirtschaftlichkeit wird gemäss Abs. 2 aufgrund folgen- 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(Abs. 3). Von den Fabrikabgabepreisen der Referenzländer werden in einem Referenzland verbindliche Herstellerrabatte abgezogen. Das EDI legt fest, welche verbindlichen Herstellerrabatte für den Abzug zu berück- 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w:t>
      </w:r>
    </w:p>
    <w:p>
      <w:r>
        <w:t>C-5620/2020 Seite 10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4.4.5</w:t>
      </w:r>
    </w:p>
    <w:p>
      <w:r>
        <w:t>Laut Art. 34f Abs. 1 KLV («Überprüfung der Aufnahmebedingungen alle drei Jahre; therapeutischer Quervergleich») werden beim therapeuti- schen Quervergleich nach Art. 65b Abs. 2 Bst. b KVV diejenigen Original- präparate berücksichtigt, die zum Zeitpunkt der Überprüfung in der Spezi- alitätenliste aufgeführt sind und zur Behandlung derselben Krankheit die- nen.</w:t>
      </w:r>
    </w:p>
    <w:p>
      <w:r>
        <w:rPr>
          <w:b/>
        </w:rPr>
        <w:t>E. 4.4.6</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4.4.7</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w:t>
      </w:r>
    </w:p>
    <w:p>
      <w:r>
        <w:t>C-5620/2020 Seite 11 (Bst. d), die Gebühren oder Kosten nach Art. 70b KVV nicht rechtzeitig ent- richtet werden (Bst. e), die Zulassungsinhaberin sich weigert, die für die Überprüfungen nach den Artikeln 65d–65g notwendigen Unterlagen einzu- reichen (Bst. f) oder die Zulassungsinhaberin sich weigert, erzielte Mehr- einnahmen nach Artikel 67a zurückzuerstatten (Bst. g).</w:t>
      </w:r>
    </w:p>
    <w:p>
      <w:r>
        <w:rPr>
          <w:b/>
        </w:rPr>
        <w:t>E. 4.4.8</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1quater KVV ermittelten Höchstpreis. Liegt der dem geltenden Höchst- preis zugrundeliegende Fabrikabgabepreis unter dem nach Art. 65b Abs. 5 KVV ermittelten Fabrikabgabepreis, so rechtfertigt dies keine Preiserhö- hung. Das Bundesamt führt die entsprechende Überprüfung einmal pro Ka- lenderjahr durch. Es überprüft dabei Arzneimittel, die sich in der gleichen therapeutischen Gruppe (IT-Gruppe) der SL befinden, gleichzeitig (Art. 34d Abs. 1 KLV).</w:t>
      </w:r>
    </w:p>
    <w:p>
      <w:r>
        <w:rPr>
          <w:b/>
        </w:rPr>
        <w:t>E. 5</w:t>
      </w:r>
    </w:p>
    <w:p>
      <w:r>
        <w:t>März 2021 E. 4.1 und 9C_309/2020 vom 4. Dezember 2020 E. 2.3.1 und 2.3.2).</w:t>
      </w:r>
    </w:p>
    <w:p>
      <w:r>
        <w:rPr>
          <w:b/>
        </w:rPr>
        <w:t>E. 5.1.1</w:t>
      </w:r>
    </w:p>
    <w:p>
      <w:r>
        <w:t>Die Beschwerdeführerin macht in der Beschwerde geltend, das BAG hätte bei der Bestimmung der Tagesdosis für B._______ nicht nur auf die Dosis von x mg abstellen dürfen, sondern hätte die in der Fachinformation ebenfalls erwähnte Dosierung von y mg auch berücksichtigen müssen. In der Fachinformation sei – wie bei allen S._______ festgehalten, dass B._______ in der kleinsten wirksamen Dosis während der kürzest mögli- chen Therapiedauer verabreicht werden solle. Dies werde auch in der Pa- tienteninformation von B._______ erwähnt. Damit solle unter anderem das Risiko von (…) und (…) Vorfällen vermindert werden. Diese Anweisung gehe unter anderem auf die Überprüfung des Nutzen-Risiko-Verhältnisses aller S._______ durch zahlreiche Zulassungsbehörden weltweit vor rund 15 Jahren zurück. Gemäss den von Swissmedic im Jahr 2010 veröffent- lichten und per 1. Januar 2019 inhaltlich erneuerten verbindlichen Muster- texte müsse in der Fach- und Patienteninformation aller S._______ festge- halten sein, dass S.______ in der kleinsten wirksamen Dosis während der kürzest möglichen Therapiedauer verschrieben werden sollten. Gemäss Fachinformation von B._______ sprächen gewisse Patienten bereits auf y mg pro Tag an. Welcher Anteil dies genau sei, werde in der Fachinforma- tion offen gelassen, sei jedoch nicht von Bedeutung. Insbesondere könne es nicht darauf ankommen, ob die Mehrheit der Patienten auf eine be- stimmte Dosierung anspreche. Vielmehr sei – unabhängig von der Vertei- lung der Patienten auf die einzelnen Dosierungen – die ganze Dosisspanne zu berücksichtigen. Wesentlich sei, dass die Dosierung von y mg in der Fachinformation von B._______ für die indikationsgemässe Behandlung genannt sei, dass ein Anteil von Patienten bereits auf y mg anspreche, und dass gestützt auf das Behandlungsprinzip der kleinsten Dosierung wäh- rend der kürzest möglichen Dauer die Dosierung y mg bei allen Patienten vom behandelnden Arzt berücksichtigt werden und bei denjenigen, die da-</w:t>
      </w:r>
    </w:p>
    <w:p>
      <w:r>
        <w:t>C-5620/2020 Seite 13 rauf ansprechen, auch verwendet werden müsse. Dass B._______ bei ei- nem Anteil Patienten bereits in der Dosierung y mg wirke, ergebe sich schon daraus, dass diese Dosierung in der Fachinformation aufgenommen worden sei. Im Weiteren ergebe sich die Wirksamkeit auch aus der Litera- tur bzw. aus klinischen Studien. Gemäss Rechtsprechung des Bundesver- waltungsgerichts sei bei der Berechnung der durchschnittlichen Tagesdo- sis grundsätzlich der ganze Anwendungsbereich zu berücksichtigen. Zu- dem berücksichtige das BAG offensichtlich bei einigen anderen Präparaten sogar auch die Dosierung für (in der Fachinformation so bezeichnete) Ein- zelfälle. Vorliegend hätten Ärzte in jedem Fall das Ansprechen auf die Do- sierung von y mg zu prüfen. Folglich sei bei der Dosierung von y mg pro Tag nicht von einer Dosierung, die nur in Einzelfällen zur Anwendung komme, auszugehen, weshalb diese erst recht berücksichtigt werden müsse. Gemäss Rundschreiben des BAG vom 2. Dezember 2019 sei die mittlere Tagesdosierung gestützt auf den Mittelwert der Dosisspanne fest- zulegen. Bei B._______ betrage dieser (…) mg pro Tag (Mittelwert von y mg und x mg). Damit Arzneimittel verglichen werden könnten, sei voraus- gesetzt, dass die zu berücksichtigenden Dosierungen nach denselben Be- dingungen berechnet würden. Die Fachinformationen von B._______ und F._______ wichen inhaltlich nicht in relevanter Weise voneinander ab, wes- halb es nicht gerechtfertigt sei, die Dosierung nach unterschiedlichen Be- dingungen zu berechnen. Indem das BAG bei F._______ den gesamten Dosisbereich von (..) mg bis (…) mg berücksichtig habe, während es bei B._______ nur auf die Dosierung von x mg abgestellt habe, verletzte es auch den Gleichbehandlungsgrundsatz. Bei korrekter Durchführung des TQV mit Berücksichtigung einer mittleren Tagesdosierung bei B._______ von (…) mg ergebe sich, dass B._______ nach wie vor wirtschaftlich sei (BVGer-act. 1).</w:t>
      </w:r>
    </w:p>
    <w:p>
      <w:r>
        <w:rPr>
          <w:b/>
        </w:rPr>
        <w:t>E. 5.1.2</w:t>
      </w:r>
    </w:p>
    <w:p>
      <w:r>
        <w:t>Die Vorinstanz hält in der Vernehmlassung dagegen, die Fachinfor- mation von B._______ bestimme hinsichtlich der Dosierung, dass bei der Langzeitbehandlung die empfohlene Dosis x mg täglich betrage. "Gewisse Patienten" sprächen "allenfalls" auf y mg pro Tag an. Das heisse, dass die tägliche Dosierung nur in einzelnen Fällen eventuell auf y mg reduziert wer- den könne, die Mehrheit der Patienten jedoch x mg einnehmen müsse, weshalb die tiefere Dosierung als Ausnahmedosierung zu qualifizieren und deshalb für die Berechnung der Tagestherapiekosten nicht zu berücksich- tigen sei. Entgegen der Auffassung der Beschwerdeführerin sei nämlich sehr wohl relevant, wenn eine Dosierung nur ausnahmsweise wirksam ein- gesetzt werden könne. Ebenfalls nicht zutreffend sei die Aussage der Be- schwerdeführerin, wonach die Fachinformationen von B._______ und</w:t>
      </w:r>
    </w:p>
    <w:p>
      <w:r>
        <w:t>C-5620/2020 Seite 14 F._______ übereinstimmten. Bei F._______ entspreche die niedrige Dosie- rung der üblichen Dosierung für eine Langzeitbehandlung. Bei B._______ hingegen wirke die niedrigste Dosierung (y mg) nur "allenfalls" bei "gewis- sen" Patienten. An der Auffassung des BAG ändere nichts, dass S._______ über so kurze Zeit wie nötig und so niedrig dosiert wie möglich angewendet werden sollten. Zum einen sollten Arzneimittel ganz grund- sätzlich gemäss diesem Leitsatz angewendet werden und zum anderen seien y mg B._______ täglich gemäss Fachinformation klar nicht die Re- geldosierung. Somit sei das BAG bei der Ermittlung der Tagestherapiekos- ten für B._______ zu Recht von einer täglichen Dosierung von x mg aus- gegangen (BVGer-act. 11).</w:t>
      </w:r>
    </w:p>
    <w:p>
      <w:r>
        <w:rPr>
          <w:b/>
        </w:rPr>
        <w:t>E. 5.1.3</w:t>
      </w:r>
    </w:p>
    <w:p>
      <w:r>
        <w:t>Die Beschwerdeführerin entgegnet in der Replik, die Fachinformation von B._______ enthalte keine Angaben darüber, ob viele oder wenige Pa- tienten auf die Dosis von y mg pro Tag ansprächen. Daher müssten die durchschnittlichen Tagestherapiekosten gestützt auf die beiden in der Fachinformation aufgeführten Dosierungen berechnet werden. Es sei nicht belegt und es bleibe kein Raum, anzunehmen, dass die Dosierung von y mg pro Tag nur in Ausnahmefällen angewendet werde. Gemäss Fach- und Patienteninformation solle B._______ während der kürzest möglichen Zeit und in der tiefstmöglichen Dosierung angewendet werden. Somit müsse gemäss Fachinformation immer geprüft werden, ob der oder die Patient/in auf die tiefere Dosierung (y mg) anspreche. Es handle sich dabei nicht "bloss" um einen Leitsatz, sondern um eine Anweisung, welche auf eine weltweite Überprüfung des Nutzen-Risiko-Verhältnisses von S.______ zurückgehe und zwingend umgesetzt werden müsse. Eine For- derung, wonach eine bestimmte Anzahl oder ein bestimmter Anteil Patien- ten auf die entsprechende Dosis ansprechen müsse, entbehre jeder Grundlage. Ausserdem weise das BAG dem Begriff "gewisse" die Bedeu- tung "wenige" zu. Dies entspreche jedoch nicht dem Sinn dieser Formulie- rung in der Fachinformation. "Gewisse" Patienten seien solche, die allen- falls aufgrund ihres generellen Ansprechens auf Schmerzmittel oder eines weniger ausgeprägten Schmerzreizes mit einer geringeren Dosierung aus- kämen. Somit handle es sich bei der Formulierung eher um ein qualitatives und weniger um ein quantitatives Kriterium. Insofern und insbesondere un- ter Berücksichtigung des Grundsatzes "so kurz wie möglich, so tief wie möglich" wichen auch die Fachinformationen von B._______ und F._______ inhaltlich nicht in relevanter Weise voneinander ab (BVGer-act. 15).</w:t>
      </w:r>
    </w:p>
    <w:p>
      <w:r>
        <w:t>C-5620/2020 Seite 15</w:t>
      </w:r>
    </w:p>
    <w:p>
      <w:r>
        <w:rPr>
          <w:b/>
        </w:rPr>
        <w:t>E. 5.1.4</w:t>
      </w:r>
    </w:p>
    <w:p>
      <w:r>
        <w:t>Die Vorinstanz hat auf die Einreichung einer Duplik verzichtet (BVGer-act. 19).</w:t>
      </w:r>
    </w:p>
    <w:p>
      <w:r>
        <w:rPr>
          <w:b/>
        </w:rPr>
        <w:t>E. 5.2</w:t>
      </w:r>
    </w:p>
    <w:p>
      <w:r>
        <w:t>Nachfolgend werden im Sinne eines kurzen Überblicks die Indikationen und Dosierungsvorschriften für das zu überprüfende Arzneimittel B._______ und für die in den TQV miteinbezogenen Vergleichspräparate F._______ und E._______ aufgeführt:</w:t>
      </w:r>
    </w:p>
    <w:p>
      <w:r>
        <w:rPr>
          <w:b/>
        </w:rPr>
        <w:t>E. 5.2.1</w:t>
      </w:r>
    </w:p>
    <w:p>
      <w:r>
        <w:t>Das zu überprüfende Arzneimittel B._______ ist gemäss Fachinfor- mation (vgl. BVGer-act. 1, Beilage 3) indiziert zur akuten und chronischen Symptombehandlung von (…). Zur Dosierung/Anwendung enthält die Fachinformation folgende Angaben: "Zur initialen und akuten Behandlung von R._______ werden x mg pro Tag emp- fohlen. Bei Langzeitbehandlung beträgt die empfohlene Dosis täglich ebenfalls x mg nach dem Essen, verteilt auf 2 Einzelgaben. Gewisse Patienten sprechen allen- falls auf y mg pro Tag an."</w:t>
      </w:r>
    </w:p>
    <w:p>
      <w:r>
        <w:rPr>
          <w:b/>
        </w:rPr>
        <w:t>E. 5.2.2</w:t>
      </w:r>
    </w:p>
    <w:p>
      <w:r>
        <w:t>Das Vergleichsarzneimittel F._______ (…) (Wirkstoff: G._______) umfasst gemäss Fachinformation (vgl. BVGer-act. 1, Beilage 5) folgende Anwendungsmöglichkeiten: (…). Der Fachinformation lässt sich zur "übli- chen Dosierung" für F._______ (…) Folgendes entnehmen: "Die initiale Tagesdosis für F._______ magensaftresistente (…) und (…) beträgt in der Regel (…) - (…) mg. In leichteren Fällen und zur Langzeitbehandlung ge- nügen meistens (…) - (…) mg/d."</w:t>
      </w:r>
    </w:p>
    <w:p>
      <w:r>
        <w:rPr>
          <w:b/>
        </w:rPr>
        <w:t>E. 5.2.3</w:t>
      </w:r>
    </w:p>
    <w:p>
      <w:r>
        <w:t>Das Vergleichsarzneimittel E._______ (…) (Wirkstoff: H._______) ist gemäss Fachinformation (vgl. BVGer-act. 1, Beilage 6) indiziert zur symp- tomatischen Behandlung von (…). Zur "üblichen Dosierung" enthält die Fachinformation folgende Angabe: "Im Allgemeinen erhalten Erwachsene je nach Schwere und Art der Erkrankung 1-3-mal täglich (…) (…) E._______."</w:t>
      </w:r>
    </w:p>
    <w:p>
      <w:r>
        <w:rPr>
          <w:b/>
        </w:rPr>
        <w:t>E. 5.3.1</w:t>
      </w:r>
    </w:p>
    <w:p>
      <w:r>
        <w:t>Laut Art. 65b Abs. 4bis Bst. b KVV (in der seit 1. Februar 2017 gelten- den Fassung; AS 2017 623) werden beim TQV die Kosten des Arzneimit- tels pro Tag oder pro Kur im Verhältnis zu den Kosten von Arzneimitteln, die zur Behandlung derselben Krankheit eingesetzt werden, überprüft. Vor- liegend sind die Kosten pro Tag massgebend. Der TQV hat somit anhand</w:t>
      </w:r>
    </w:p>
    <w:p>
      <w:r>
        <w:t>C-5620/2020 Seite 16 der durchschnittlichen Tagestherapiekosten der mittleren Erhaltungsdosen der zu vergleichenden Medikamente zu erfolgen (BGE 147 V 470 E. 4.1).</w:t>
      </w:r>
    </w:p>
    <w:p>
      <w:r>
        <w:rPr>
          <w:b/>
        </w:rPr>
        <w:t>E. 5.3.2</w:t>
      </w:r>
    </w:p>
    <w:p>
      <w:r>
        <w:t>Ein Arzneimittel darf nur in den Grenzen der von Swissmedic zuge- lassenen Indikationen und Anwendungsvorschriften in die Spezialitäten- liste aufgenommen werden. Daher hat sich die Vorinstanz an den Wortlaut der Fachinformation zu halten (vgl. BGE 147 V 194 E. 5.3.1 mit Hinweis auf BGE 143 V 369 E. 6, vgl. auch Urteile des BVGer C-5659/2020 vom 11. Mai 2022 E. 7.2; C-5618/2020 vom 30. August 2022 E. 7.3). Die in den Arzneimittelinformationen enthaltenen Indikations- und Diagnoseformulie- rungen respektive Anwendungsvorschriften widerspiegeln die jeweils ge- genwärtigen medizinischen Kenntnisse. Es rechtfertigt sich daher, die Arz- neimittel- bzw. Fachinformationen, soweit aussagekräftig, auch für die Frage nach der mittleren Erhaltungsdosierung eines Arzneimittels heran- zuziehen. Dies gewährleistet namentlich, dass die zu berücksichtigenden Dosierungen respektive deren zu vergleichenden Mittelwerte ("mittlere Er- haltungsdosis") in transparenter sowie rechtsgleicher Art bestimmt werden (vgl. BGE 147 V 470 E. 4.2.2).</w:t>
      </w:r>
    </w:p>
    <w:p>
      <w:r>
        <w:rPr>
          <w:b/>
        </w:rPr>
        <w:t>E. 5.3.2.1</w:t>
      </w:r>
    </w:p>
    <w:p>
      <w:r>
        <w:t>Nach der neuesten bundesgerichtlichen Rechtsprechung gemäss Urteil des Bundesgerichts 9C_612/2020 vom 22. September 2021, publi- ziert in BGE 147 V 470, ist im Einzelnen wie folgt vorzugehen (vgl. E. 4.2.3): Können den Fachinformationen genaue Dosierungsvorschriften entnommen werden, anhand derer sich die durchschnittlichen Tagesthera- piekosten berechnen lassen, sind diese zu verwenden. Dabei ist zu beach- ten, dass bei der Berechnung des TQV grundsätzlich den unterschiedli- chen Anwendungsvorschriften gemäss Fachinformation Rechnung zu tra- gen ist und die verschiedenen, von Swissmedic überprüften und geneh- migten Dosierungsangaben zu berücksichtigen sind (in diesem Sinne auch Urteile des BVGer C-6083/2018 vom 9. Juli 2020 E. 7.3.2 m.H. und C- 595/2015 vom 19. Juni 2018 E. 8.3). Hinsichtlich derjenigen Arzneimittel, für die in den Fachinformationen keine genauen Dosierungsvorschriften vorhanden sind, kann die Bestimmung der Tagesdosis lediglich approxima- tiv erfolgen. Allerdings hat dies im Rahmen der Untersuchungspflicht (Art. 12 VwVG) ebenfalls auf sachgerechte und nachvollziehbare Weise zu ge- schehen (vgl. Urteile des BVGer C-6083/2018 vom 9. Juli 2020 E. 7.3.2, C-595/2015 vom 19. Juni 2018 E. 8.4 und C-536/2015 vom 6. Juni 2017 E. 8.3). Massgebend ist, dass die jeweiligen Dosierungen für sämtliche in den TQV einzubeziehenden Arzneimittel nach denselben Bedingungen festge- legt werden (vgl. auch Urteil des BVGer C-6115/2018 vom 7. Mai 2020 E. 8.9.5).</w:t>
      </w:r>
    </w:p>
    <w:p>
      <w:r>
        <w:t>C-5620/2020 Seite 17 Enthält die Fachinformation mit Blick auf die durchschnittliche Erhaltungs- dosis somit eine klare Aussage zur empfohlenen oder üblichen Dosierung, ist diese dem TQV zugrunde zu legen. Fehlt es an derartigen präzisen An- gaben, ist grundsätzlich die gesamte in der Fachinformation aufgeführte Dosisspanne zu beachten, wobei deren Mittelwert heranzuziehen ist. Die Dosisspanne bildet jedoch dann keine hinreichende Grundlage, wenn bei- spielsweise direkte Vergleichsstudien vorliegen, welche sachdienliche In- formationen zur empfohlenen oder üblichen Erhaltungsdosis beinhalten; diesfalls ist darauf abzustellen. Ergeben sich aus der Fachinformation kei- nerlei Auskünfte zur durchschnittlichen Erhaltungsdosis – auch nicht in Form von Dosisspannen –, können Äquivalenzdosen aus Leitlinien, klini- schen Studien, ausländischen Zulassungsunterlagen etc. beigezogen wer- den (vgl. dazu auch Rundschreiben des BAG betreffend "Umsetzung der Überprüfung der Aufnahmebedingungen alle drei Jahre im Jahr 2020" vom 2. Dezember 2019). Es sind keine Anhaltspunkte erkennbar, die gegen eine grundsätzliche Vorgehensweise in diesem Sinne sprechen (zum rechtlichen Stellenwert entsprechender bundesamtlicher Kommentierun- gen: BGE 145 V 289 E. 5.4.2 m.H.; Urteile des BGer 9C_401/2020 vom</w:t>
      </w:r>
    </w:p>
    <w:p>
      <w:r>
        <w:rPr>
          <w:b/>
        </w:rPr>
        <w:t>E. 5.3.2.2</w:t>
      </w:r>
    </w:p>
    <w:p>
      <w:r>
        <w:t>In BGE 147 V 470 E. 5.1 stellte das Bundesgericht zunächst die Dosierungsangaben gemäss Fachinformationen betreffend das zu über- prüfende Arzneimittel I._______ sowie die einzelnen Vergleichsmedika- mente dar. Demnach betrage die übliche therapeutische Dosis beim Medi- kament I._______ einmal täglich (…) mg (eine […]); bei ungenügendem Ansprechen und guter Verträglichkeit könne die Dosis in wöchentlichen Schritten von nicht mehr als (…) mg bis zu maximalen Tagesdosis von (…) mg erhöht werden. Beim Vergleichsarzneimittel J._______ betrage die empfohlene Tagesdosis für die Behandlung von T.______ (…) mg. Falls in Einzelfällen erforderlich, könne diese Dosis nach einigen Wochen schritt- weise ([…] mg) erhöht werden, wobei die Höchstdosis (…) mg pro Tag be- trage. In Bezug auf das Referenzpräparat K._______ werde das Medika- ment als Einzeldosis von täglich (…) mg verabreicht; in Abhängigkeit der individuellen Reaktion der Patienten könne die Dosis auf maximal (..) mg einmal täglich erhöht werden. Hinsichtlich des Vergleichspräparates L._______ werde als Anfangsdosierung bei einer U._______ (…) mg pro Tag empfohlen. Bei ungenügendem Ansprechen auf die Behandlung könne die Dosis auf (…) mg oder (…) mg erhöht werden. Beim Vergleichsmedi- kament M._______ werde die Anfangsdosis für Erwachsene mit (…) mg</w:t>
      </w:r>
    </w:p>
    <w:p>
      <w:r>
        <w:t>C-5620/2020 Seite 18 pro Tag veranschlagt und könne, je nach klinischem Zustandsbild, in Inter- vallen von zwei Wochen auf (…) mg pro Tag erhöht werden, wobei diese Dosis nicht überschritten werden dürfe. Hinsichtlich des Referenzarznei- mittels N._______ liege die wirksame Tagesdosis zwischen (…) mg und (…) mg. Die mindestwirksame Dosis werde mit (…) mg täglich angegeben. Das Bundesgericht kam im zitierten Entscheid zum Schluss, dass in Bezug auf I._______ und J._______ klare Empfehlungen zur üblichen therapeu- tischen Dosis (I._______: […] mg täglich; J._______: […] mg täglich) exis- tierten. Gleiches gelte ferner hinsichtlich der Vergleichsmedikamente K._______ und L._______. Aus den Fachinformationen lasse sich ohne Weiteres eine empfohlene/übliche tägliche Erhaltungsdosis von (…) mg (K._______) respektive (…) mg (L._______) ableiten. Der Umstand, dass die Fachinformation betreffend J._______ von "Einzelfällen" spreche, in welchen eine Steigerung der Dosis zu erfolgen habe, vermöge nichts daran zu ändern, werde damit inhaltlich doch ebenfalls nichts Anderes ausge- sagt, als dass die "übliche Dosis" (…) mg betrage und diese bei "nicht An- sprechen" auf bis zu (…) mg erhöht werden könne. Was das Referenzpro- dukt M._______ anbelange, gehe auch aus dessen Fachinformation inso- fern eine klare Angabe zur "üblichen Dosis" hervor, als diese von einer "An- fangsdosis" von (…) mg pro Tag spreche, welche bedarfsweise auf maxi- mal (…) mg täglich erhöht werden könne. Einzig hinsichtlich des Ver- gleichsarzneimittels N._______ rate die fachliche Dokumentation aus- drücklich zu einer Tagesdosis zwischen (…) mg und maximal (…) mg, wo- raus sich grundsätzlich Rückschlüsse auf den Mittelwert der Dosisspanne (d.h. von […] mg täglich) als massgelbliche "übliche Dosis" gemäss "Kas- kadenmodell" ziehen liessen (vgl. BGE 147 V 470 E. 5.4.1). Letzteres Ver- gleichsarzneimittel berücksichtigte das Bundesgericht schliesslich nicht für den TQV für I._______, einerseits unter Hinweis auf den Grundsatz, wo- nach die zu erfassenden Dosierungen für sämtliche in den TQV einzube- ziehenden Arzneimittel nach denselben Bedingungen festzulegen seien, andererseits aufgrund des Umstands, dass mit den vier anderen Medika- menten Vergleichspräparate in hinreichender Anzahl vorhanden seien (vgl. BGE 147 V 470 E. 5.4.2).</w:t>
      </w:r>
    </w:p>
    <w:p>
      <w:r>
        <w:rPr>
          <w:b/>
        </w:rPr>
        <w:t>E. 5.3.2.3</w:t>
      </w:r>
    </w:p>
    <w:p>
      <w:r>
        <w:t>Mit Blick auf die vorstehend dargelegte Rechtsprechung ist die für die Bestimmung der Tagestherapiekosten massgebliche übliche Dosis der betroffenen Arzneimittel im Rahmen des TQV anhand des "Kaskadenmo- dells" zu bestimmen (BGE 147 V 470 E. 4.2.3). Der TQV für das zu über- prüfende Arzneimittel ist folglich auf der Basis der jeweils gemäss Fachin-</w:t>
      </w:r>
    </w:p>
    <w:p>
      <w:r>
        <w:t>C-5620/2020 Seite 19 formation empfohlenen Anfangs- respektive Erhaltungsdosierung als mas- sgebliche "übliche Dosis" vorzunehmen, sofern und soweit entsprechende Angaben vorhanden sind (vgl. BGE 147 V 470 E. 5.3). Entsprechend den bundesgerichtlichen Erwägungen wird unterschieden zwischen Regeldo- sen (empfohlene respektive übliche Dosis) und Ausnahmedosen (nicht mehr übliche Dosis), wobei für die Bestimmung der Tagestherapiekosten lediglich die Regeldosen respektive die üblichen, empfohlenen Dosen zu berücksichtigen sind (vgl. Urteil des BVGer C-5618/2020 vom 30. August 2022 E. 7.5). Ergibt sich gemäss Fachinformation eine empfohlene An- fangs- respektive Erhaltungsdosis, bleibt kein Raum für das Heranziehen des jeweiligen Mittelwerts der Dosisspanne (vgl. BGE 147 V 470 E. 5.3). Beinhaltet die Fachinformation als Regeldosis eine Dosisspanne ohne prä- zise Angaben zur empfohlenen Anfangs- respektive Erhaltungsdosis, ergibt sich die übliche Dosis aus dem Mittelwert dieser Dosisspanne, so- fern beispielsweise keine direkten Vergleichsstudien vorliegen, welche sachdienliche Informationen zur empfohlenen oder üblichen Dosis beinhal- ten, auf welche diesfalls abzustellen wäre (vgl. BGE 147 V 470 E. 4.2.3).</w:t>
      </w:r>
    </w:p>
    <w:p>
      <w:r>
        <w:rPr>
          <w:b/>
        </w:rPr>
        <w:t>E. 5.4</w:t>
      </w:r>
    </w:p>
    <w:p>
      <w:r>
        <w:t>Im Folgenden ist zu prüfen, ob sich aus den Fachinformationen für B._______, F._______ und E._______ jeweils eine "übliche Dosis" im Sinne der dargestellten Rechtsprechung ermitteln lässt.</w:t>
      </w:r>
    </w:p>
    <w:p>
      <w:r>
        <w:rPr>
          <w:b/>
        </w:rPr>
        <w:t>E. 5.4.1</w:t>
      </w:r>
    </w:p>
    <w:p>
      <w:r>
        <w:t>Entsprechend der festgelegten unumstrittenen Hauptindikation von B._______ (vgl. oben E. 5) ist sowohl die Dosis für die akute als auch jene für die Langzeitbehandlung von R._______ zu berücksichtigen. Gemäss Fachinformation wird sowohl für die initiale bzw. akute als auch für die Langzeitbehandlung eine Dosis von x mg pro Tag "empfohlen". Bei dieser empfohlenen Dosierung handelt es sich gemäss dem klaren Wortlaut somit um eine Regeldosierung. Umstritten und zu prüfen ist, ob mit dem an die Dosisempfehlung von x mg pro Tag für die Langzeitbehandlung anschlies- senden Satz "Gewisse Patienten sprechen allenfalls auf y mg pro Tag an" ebenfalls eine Regeldosis festlegt wird, wie es die Beschwerdeführerin gel- tend macht, oder ob es sich dabei, entsprechend der Ansicht der Vo- rinstanz, um eine für die Bestimmung der Tagestherapiekosten unbeacht- liche Ausnahmedosis handelt. Der Wortlaut der Fachinformation ist dies- bezüglich auszulegen. "Gewisse" bzw. "manche" bedeutet gemäss Duden "die einen und die anderen, eine Anzahl/Reihe, einige, ein paar, Einzelne, mehrere, nicht allzu viele, wenige, diverse, etliche". Das Wort "allenfalls" hat gemäss Duden folgende Synonyme: "etwa, etwaig, eventuell, gegebe- nenfalls, im gegebenen Fall, möglicherweise, unter Umständen, vielleicht,</w:t>
      </w:r>
    </w:p>
    <w:p>
      <w:r>
        <w:t>C-5620/2020 Seite 20 womöglich, allfällig". Auch wenn, wie die Beschwerdeführerin zu Recht vor- bringt, mit dem Ausdruck "gewisse Patienten" keine konkrete Anzahl an Patienten definiert wird und die Dosis von y mg somit theoretisch in mehr als nur in Einzelfällen anwendbar sein kann, so handelt es sich gemäss Wortlaut dennoch klar nicht um einen Regelfall, dies unabhängig davon, wie gross die Anzahl an Patienten, welche auf die Dosis von y mg pro Tag ansprechen, tatsächlich ist. Der Ausnahmecharakter des Ansprechens ge- wisser Patienten auf die Dosis von y mg wird durch das Wort "allenfalls" noch verstärkt. Auch der Umstand, dass mit dem vorangehenden Satz ("Bei Langzeitbehandlung beträgt die empfohlene Dosis täglich ebenfalls x mg […]") explizit die empfohlene respektive übliche Dosierung bei der Langzeitbehandlung festlegt wird, bestätigt, dass der nachfolgende Satz, wonach gewisse Patienten allenfalls auf y mg pro Tag ansprechen, auch kontextuell nur als Ausnahme zur Regel verstanden werden kann. Daran ändert auch der Grundsatz nichts, wonach bei S._______ wie B._______, F._______ und E._______, jeweils die kleinste wirksame Dosis während der kürzest möglichen Therapiedauer verbreicht werden sollte. Gemäss Fachinformation, welche die gegenwärtigen medizinischen Kenntnisse wi- derspiegelt (vgl. oben E. 5.3.2), wurde unter Berücksichtigung dieses Grundsatzes (vgl. BVGer-act. 1, Beilage 3 unter "Warnhinweise und Vor- sichtsmassnahmen") dennoch eine Regeldosis von x mg pro Tag für die Akut- und Langzeitbehandlung festgelegt. Entsprechend widerspricht die Ansicht der Beschwerdeführerin, wonach gestützt auf den Grundsatz "so kurz wie möglich, so tief wie möglich" bei jedem einzelnen Patienten zu- nächst die Dosierung von y mg pro Tag zu versuchen und erst bei Nichtan- sprechen auf die Dosierung von x mg pro Tag zu wechseln sei, der vorlie- gend massgeblichen Fachinformation. Selbst wenn dieser Ansicht gefolgt würde, ändert dies nichts daran, dass schliesslich trotzdem lediglich "ge- wisse Patienten" "allenfalls" auf die Dosis von y mg pro Tag ansprechen, während die "empfohlene" Dosis für die Langzeitbehandlung täglich x mg beträgt. Hinzu kommt, dass die tiefere Dosis von y mg pro Tag nur in der Fachinformation, nicht jedoch in der Patienteninformation enthalten ist (vgl. BVGer-act. 1, Beilage 7). Da den Arzneimitteln einzig die Patienteninfor- mation beigelegt wird, haben die Patienten keine Kenntnis von der allen- falls möglichen tieferen Dosierung von y mg pro Tag, womit auch deshalb nicht von einer üblichen Dosierung im Sinne der Rechtsprechung ausge- gangen werden kann (vgl. Urteil des BVGer C-5618/2020 vom 30. August 2022 E. 7.7.3). Im Weiteren ist festzustellen, dass die Arzneimittelinforma- tion von B._______ Stand November 2012 (vgl. Beschwerdebeilage 3) mit der aktuellsten (Stand Mai 2022) hinsichtlich Wirkstoffmenge pro (…) und</w:t>
      </w:r>
    </w:p>
    <w:p>
      <w:r>
        <w:t>C-5620/2020 Seite 21 empfohlene Dosierung übereinstimmt und im Gegensatz zum von der Be- schwerdeführerin zitierten Artikel von O._______ aus dem Jahr 1989 Tab- letten zu (…) mg C._______ nicht erhältlich sind. Auch aus dem ins Recht gelegt Abstract von P._______ von 1990 vermag die Beschwerdeführerin für eine mögliche Regeldosis von y mg pro Tag nichts zu ihren Gunsten abzuleiten. Dasselbe gilt auch für die Studie von Q._______ et al. aus dem Jahr 1986, ging es in dieser Studie doch darum zu prüfen, ob eine Lang- zeittherapie mit C._______ eine klinisch signifikante Änderung der Nieren- funktion hervorruft. Ferner verfängt auch das Vorbringen der Beschwerde- führerin, die Fachinformationen von B._______ und F._______ wichen in- haltlich nicht in relevanter Weise voneinander ab, weshalb die Tagesdosis bei B._______ wie bei F._______ anhand des Mittelwerts der Dosisspanne zu berechnen sei, nicht. Gemäss der Fachinformation für F._______ wird bei der Dosierung unterschieden zwischen einer initialen Tagesdosis bzw. Anfangsdosis, welche "in der Regel" (…) mg pro Tag betrage, und einer Dosis für leichtere Fälle und zur Langzeitbehandlung, wobei "meistens" (…) mg pro Tag genügten (vgl. oben E. 5.2.2). Das Wort "meistens" hat gemäss Duden folgende Bedeutungen: "fast immer, für gewöhnlich, gröss- tenteils, im Allgemeinen, in den meisten Fällen, in der Regel, normaler- weise, sehr häufig, überwiegend, üblicherweise, mehrheitlich". Demnach ergibt sich bereits aus dem allgemeinen Sprachgebrauch, dass es sich bei der für die Langzeitbehandlung festgelegte Dosierung nicht um eine Aus- nahmedosis, sondern – wie bei der Anfangsdosis – ebenfalls um eine übli- che Dosis bzw. eine Regeldosis handelt Somit stimmen die Fachinformati- onen für B._______ und F._______ inhaltlich nicht überein: Während die in der Fachinformation für B._______ erwähnte Dosis von y mg pro Tag als Ausnahme zur Regeldosierung bei Langzeitbehandlung von x mg zu be- trachten ist, handelt es sich bei der in der Fachinformation für F._______ festgelegten Dosisspanne für die Langzeitbehandlung um eine übliche Do- sis bzw. Regeldosis, welche rechtsprechungsgemäss für die Bestimmung der Tagestherapiekosten grundsätzlich zu berücksichtigen ist (vgl. jedoch dazu nachfolgend E. 5.4.2). Nach dem Gesagten ergibt sich aus der Fachinformation für B._______ eine massgebliche übliche Dosis von x mg pro Tag für die initiale bzw. akute sowie die Langzeitbehandlung von R._______. Somit bleibt rechtsprechungsgemäss kein Raum für das Her- anziehen des Mittelwerts der Dosisspanne. Dass die Vorinstanz die in der Fachinformation erwähnte Ausnahmedosis von y mg pro Tag bei der Be- stimmung der Tagestherapiekosten für B._______ nicht berücksichtigt hat, ist folglich nicht zu beanstanden.</w:t>
      </w:r>
    </w:p>
    <w:p>
      <w:r>
        <w:t>C-5620/2020 Seite 22</w:t>
      </w:r>
    </w:p>
    <w:p>
      <w:r>
        <w:rPr>
          <w:b/>
        </w:rPr>
        <w:t>E. 5.4.2</w:t>
      </w:r>
    </w:p>
    <w:p>
      <w:r>
        <w:t>Betreffend das Vergleichsarzneimittel F._______ (…) hat die Vor- instanz den Mittelwert der gesamten in der Fachinformation erwähnten Do- sisspanne von (…) - (…) mg, d.h. (…) mg für die Bestimmung der Tagest- herapiekosten herangezogen. Die in der Fachinformation für F._______ festgehaltenen zwei Dosisspannen von (…) - (…) mg als "initiale Tagesdo- sis" bzw. Anfangsdosis und von (…) - (…) mg für leichtere Fälle und zur Langzeitbehandlung sind – wie vorstehend ausgeführt (vgl. E. 5.4.1 hier- vor) – gestützt auf den Wortlaut der Fachinformation beide als Regeldosis zu betrachten. In Bezug auf die in der gleichen Fachinformation enthaltene Dosierungsvorschrift für F._______ Retard(…) wurde gemäss Urteil des Bundesverwaltungsgericht C-5659/2020 vom 11. Mai 2022 lediglich die Dosisspanne von (…) - (…) mg als "übliche Dosis" im Sinne der Recht- sprechung eingestuft, nicht jedoch die Dosis von (…) - (…) mg. Allerdings stimmt der Wortlaut der Dosierungsangaben von F._______ (magensaftre- sistenten) (…) und F._______ Retard(…) nicht überein. Bei F._______ Retard(…) beträgt gemäss Fachinformation "die Tagesdosis in der Regel" (…) - (…) mg. Für leichtere Fälle und zur Langzeitbehandlung sei im Allge- meinen (…) Retard(…) zu (…) mg oder zu (…) mg pro Tag ausreichend (vgl. BVGer-act. 1, Beilage 5 unter "Dosierung/Anwendung, Retard[…]"). Im Gegensatz zu den vorliegend als Vergleichsarzneimittel herangezoge- nen F._______ (magensaftresistenten) (…) wird bei der Dosierung von F._______ Retard(…) somit nicht klar zwischen Anfangs- und Erhaltungs- dosierung unterschieden (vgl. Urteil des BVGer C-5659/2020 E. 7.4 in fine), sondern eine allgemein übliche Tagesdosis von (…) - (…) mg festge- legt. Hinzu kommt, dass im betreffenden Fall, in welchem es um die Über- prüfung der Wirtschaftlichkeit des Arzneimittels E._______ Retard ging, die Langzeitbehandlung – anders als im vorliegenden Fall – nicht als Bestand- teil der für die Wirtschaftlichkeitsprüfung massgeblichen (Haupt-)Indikation definiert worden war, womit auch die entsprechende Dosierung für die Be- stimmung der Tagestherapiekosten nicht zu berücksichtigen war. Das er- wähnte Urteil spricht somit nicht gegen die Berücksichtigung der Dosis- spanne für die Langzeitbehandlung im vorliegenden Fall. Auch die Be- schwerdeführerin bestreitet im vorliegenden Beschwerdeverfahren die Be- rücksichtigung der Dosisspanne von (…) - (…) mg zur Langzeitbehandlung mit F._______ (…) nicht. Aus dem gemäss neuester bundesgerichtlicher Rechtsprechung anwendbaren "Kaskadenmodell" ergibt sich jedoch, dass nicht ohne Weiteres auf eine in der Fachinformation aufgeführte Dosis- spanne abgestellt werden kann. Demnach bildet die Dosisspanne dann keine hinreichende Grundlage, wenn beispielsweise direkte Vergleichsstu- dien vorliegen, welche sachdienliche Informationen zur empfohlenen oder üblichen Anfangs- respektive Erhaltungsdosis beinhalten (vgl. oben</w:t>
      </w:r>
    </w:p>
    <w:p>
      <w:r>
        <w:t>C-5620/2020 Seite 23 E. 5.3.2.1). Die Vorinstanz hätte somit bei F._______ (…), sowohl in Bezug auf die Dosisspanne für die Anfangsdosis ([…] - […] mg) als auch in Bezug auf die Dosisspanne für die Langzeitbehandlung bzw. Erhaltungsdosis ([…] - […] mg), zunächst prüfen müssen, ob direkte Vergleichsstudien oder an- dere sachdienliche Quellen vorliegen, aus denen sich eine empfohlene bzw. übliche Dosis im Sinne der Rechtsprechung ergibt. Indem sie diese Abklärung gemäss den vorliegenden Akten nicht vorgenommen und ohne Weiteres auf den Mittelwert der gesamten Dosisspanne abgestellt hat, hat sie das "Kaskadenmodell", welches bereits im Rundschreiben der Vo- rinstanz vom 2. Dezember 2019 festgehalten (vgl. BVGer-act. 1, Beilage 18, S. 8) und mit BGE 147 V 470 bestätigt worden ist (vgl. E. 4.2.3 in fine), nicht eingehalten.</w:t>
      </w:r>
    </w:p>
    <w:p>
      <w:r>
        <w:rPr>
          <w:b/>
        </w:rPr>
        <w:t>E. 5.4.3</w:t>
      </w:r>
    </w:p>
    <w:p>
      <w:r>
        <w:t>In Bezug auf das Vergleichsarzneimittel E._______ Kapseln beträgt die übliche Dosierung gemäss Fachinformation "je nach Schwere und Art der Erkrankung 1-3-mal täglich (…) (…)" Eine klare Aussage zur empfoh- lenen oder üblichen Dosierung enthält die Fachinformation somit nicht, sondern es wird – wie bei F._______ (…) – eine Dosisspanne festgelegt. Die Vorinstanz hat bei E._______ als durchschnittliche Tagesdosis den Mit- telwert von 1 und 3 (…), also 2 (…) à (…) mg, d.h. insgesamt (…) mg, herangezogen. Allerdings hätte die Vorinstanz wie bei F._______ auch bei E._______ zunächst abklären müssen, ob sich sachdienliche Informatio- nen zur empfohlenen bzw. üblichen Dosis beispielsweise aus direkten Ver- gleichsstudien ergeben. Weiter stellt sich bei E._______ die Frage, ob das Arzneimittel überhaupt zur Langzeitbehandlung von R._______ vorgese- hen ist. Aus der Fachinformation ergibt sich dies jedenfalls nicht explizit, weder aus der beschriebenen Indikation, noch aus der Dosierungsvor- schrift (vgl. oben E. 5.2.3). Rechtsprechungsgemäss müssen Vergleichs- arzneimittel eine tatsächliche echte Therapiealternative zum zu überprü- fenden Arzneimittel darstellen (vgl. Urteil des BVGer C-6598/2018 vom 8. April 2022 E. 8.4.2). Sie müssen daher wie das zu überprüfende Ausgangs- arzneimittel zur Behandlung derselben Krankheit(en) (Art. 34f Abs. 1 KLV) einsetzbar und in der konkreten medizinischen Behandlungssituation lege artis mit diesem austauschbar sein (in der gleichen Therapielinie; vgl. auch Urteil C-7133/2017 vom 16. Februar 2021 E. 7.5 f.; BGE 143 V 369 E. 5.2 spricht von Gleichrangigkeit). Die therapeutische Äquivalenz bzw. Gleich- wertigkeit muss dabei mit klinischen Studien belegt sein (vgl. BGE 147 V 194 E. 5.3.1 mit Hinweis; vgl. auch Ziff. 2.1.4 SL-Handbuch und Urteil des BVGer C-5962/2019 vom 25. Oktober 2021 E. 7.3). Dies entspricht schliesslich auch dem im SL-Handbuch genannten Prinzip der Therapieal- ternative (vgl. SL-Handbuch Ziff. C.2.1.1 und C.2.1.2). Sollte E._______</w:t>
      </w:r>
    </w:p>
    <w:p>
      <w:r>
        <w:t>C-5620/2020 Seite 24 nur für die akute bzw. kurzzeitige Behandlung R.______ vorgesehen sein, so wäre der Anwendungsbereich dieses Arzneimittels im Vergleich zu B._______ enger und es wäre keine austauschbare echte Therapiealter- native im Sinne der Rechtsprechung und damit kein geeignetes Vergleichs- arzneimittel für den TQV von B._______.</w:t>
      </w:r>
    </w:p>
    <w:p>
      <w:r>
        <w:rPr>
          <w:b/>
        </w:rPr>
        <w:t>E. 5.4.4</w:t>
      </w:r>
    </w:p>
    <w:p>
      <w:r>
        <w:t>Zusammengefasst lässt sich lediglich für das zu überprüfende Arz- neimittel B._______ eine für die Bestimmung der Tagestherapiekosten massgebliche übliche Dosis im Sinne der Rechtsprechung aus der Fachin- formation entnehmen. Bei den beiden Vergleichsarzneimitteln F._______ und E._______ wird in der Fachinformation eine Dosisspanne festgesetzt, deren Mittelwert gemäss dem "Kaskadenmodell" erst dann herangezogen werden kann, wenn beispielsweise direkte Vergleichsstudien keine sach- dienlichen Informationen zur empfohlenen oder üblichen Dosierung bein- halten. Die Tagestherapiekosten für F._______ und E._______ lassen sich somit vorliegend mangels hinreichender Abklärungen nicht abschliessend bestimmen. Hinzu kommt, dass sich bei E._______ aus der Fachinforma- tion nicht ergibt, ob dieses Arzneimittel auch für die Langzeitbehandlung R._______ vorgesehen ist.</w:t>
      </w:r>
    </w:p>
    <w:p>
      <w:r>
        <w:rPr>
          <w:b/>
        </w:rPr>
        <w:t>E. 5.5</w:t>
      </w:r>
    </w:p>
    <w:p>
      <w:r>
        <w:t>Nach dem Gesagten hat die Vorinstanz den Sachverhalt nicht hinrei- chend abgeklärt, womit gestützt auf die vorliegenden Unterlagen auch kein TQV für B._______ durchgeführt werden kann. Da das Bundesverwal- tungsgericht nicht als Fachbehörde eingesetzt ist und es vorliegend um Fragen geht, welche hochstehende, spezialisierte, technische und wissen- schaftliche Kenntnisse erfordern, rechtfertigt es sich, die Angelegenheit an die Vorinstanz zurückzuweisen, damit sie die erforderlichen Abklärungen vornimmt. Konkret hat die Vorinstanz betreffend die Indikation des Ver- gleichsarzneimittels E._______ abzuklären, ob dieses – entsprechend der für das zu überprüfende Arzneimittel B._______ festgelegten Hauptindika- tion – auch für die Langzeitbehandlung R._______ vorgesehen ist. Zudem hat sie hinsichtlich der Bestimmung der Tagestherapiekosten der Ver- gleichsarzneimittel die übliche Dosis entsprechend dem nach BGE 147 V 470 anwendbaren "Kaskadenmodell" vorzunehmen, d.h. sie hat insbeson- dere vor Heranziehung des Mittelwerts der in der Fachinformation festge- legten Dosisspanne zu prüfen, ob direkte Vergleichsstudien oder andere geeignete Quellen sachdienliche Informationen zur empfohlenen oder üb- lichen Dosis im Sinne der Rechtsprechung beinhalten. Nach erfolgten Ab- klärungen wird die Vorinstanz einen neuen TQV für B._______ durchzu- führen haben. Mit Blick auf ihr weites Ermessen hat die Vorinstanz ihre Feststellungen für den Rechtsanwender nachvollziehbar zu begründen.</w:t>
      </w:r>
    </w:p>
    <w:p>
      <w:r>
        <w:t>C-5620/2020 Seite 25 Die vom Bundesgericht in BGE 147 V 470 offen gelassene Frage, ob eine Vergleichbarkeit der in den TQV miteinbezogenen Arzneimitteln nur gege- ben ist, wenn deren massgeblichen Erhaltungsdosen im Rahmen des Kas- kadenmodells auf dieselbe Weise eruiert werden (beispielsweise sämtliche Medikamente auf der Basis eines Mittelwerts einer Dosisspanne), oder ob zunächst bei jedem Arzneimittel nach Massgabe des "Kaskadenmodells" die jeweilige übliche Dosierung zu ermitteln ist und diese erst in einem zweiten Schritt verglichen werden (vgl. E. 5.4.2 in fine), muss an dieser Stelle nicht beantwortet werden. Hinzuweisen ist auf die bundesgerichtli- che Rechtsprechung, wonach es unter Umständen bereits genügen kann, den TQV auf ein einziges (Konkurrenz-)Präparat zu beschränken (vgl. BGE 147 V 470 E. 5.4.2 mit Hinweisen).</w:t>
      </w:r>
    </w:p>
    <w:p>
      <w:r>
        <w:rPr>
          <w:b/>
        </w:rPr>
        <w:t>E. 6.1</w:t>
      </w:r>
    </w:p>
    <w:p>
      <w:r>
        <w:t>Im Ergebnis ist die Beschwerde somit insofern und insoweit gutzuheis- sen, als die angefochtene Verfügung vom 9. Oktober 2020 aufzuheben und die Sache an die Vorinstanz zurückzuweisen ist, damit diese nach erfolgten Abklärungen und neuer Überprüfung im Sinne der Erwägungen über die Preise von B._______ neu verfüge.</w:t>
      </w:r>
    </w:p>
    <w:p>
      <w:r>
        <w:rPr>
          <w:b/>
        </w:rPr>
        <w:t>E. 6.2</w:t>
      </w:r>
    </w:p>
    <w:p>
      <w:r>
        <w:t>Festzuhalten bleibt, dass das BAG einer allfälligen Beschwerde gegen seine Verfügung vom 9. Oktober 2020 die aufschiebende Wirkung nicht entzogen hat, weshalb die hier infrage stehenden Medikamente bis heute (provisorisch) auf dem bisherigen Preisniveau in der SL geführt wurden (vgl. dazu &lt; http://www.&lt;spezialitätenliste.ch &gt;, abgerufen am 14. Novem- ber 2022). Das BAG ist mit dem vorliegenden Urteil gehalten, weitere Ab- klärungen und eine neue Preisüberprüfung für dieses Arzneimittel im Sinne der Erwägungen vorzunehmen.</w:t>
      </w:r>
    </w:p>
    <w:p>
      <w:r>
        <w:rPr>
          <w:b/>
        </w:rPr>
        <w:t>E. 7</w:t>
      </w:r>
    </w:p>
    <w:p>
      <w:r>
        <w:t>Zu befinden bleibt über die Verfahrenskosten und eine allfällige Parteient- schädigung.</w:t>
      </w:r>
    </w:p>
    <w:p>
      <w:r>
        <w:rPr>
          <w:b/>
        </w:rPr>
        <w:t>E. 7.1</w:t>
      </w:r>
    </w:p>
    <w:p>
      <w:r>
        <w:t>Eine Rückweisung gilt praxisgemäss als Obsiegen der beschwerdefüh- renden Partei (vgl. BGE 137 V 57 E. 2.1 m.H.), weshalb der obsiegenden Beschwerdeführerin im vorliegenden Fall keine Verfahrenskosten aufzuer- legen sind. Der geleistete Kostenvorschuss von Fr. 5'000.- ist ihr nach Ein- tritt der Rechtskraft des vorliegenden Urteils zurückzuerstatten. Vorinstan- zen werden keine Verfahrenskosten auferlegt (Art. 63 Abs. 2 VwVG).</w:t>
      </w:r>
    </w:p>
    <w:p>
      <w:r>
        <w:t>C-5620/2020 Seite 26</w:t>
      </w:r>
    </w:p>
    <w:p>
      <w:r>
        <w:rPr>
          <w:b/>
        </w:rPr>
        <w:t>E. 7.2</w:t>
      </w:r>
    </w:p>
    <w:p>
      <w:r>
        <w:t>Die obsiegende, anwaltlich vertretene Beschwerdeführerin hat gemäss Art. 64 Abs. 1 und 2 VwVG in Verbindung mit Art. 7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 teilenden Fragen, ist der Beschwerdeführerin zu Lasten der Vorinstanz eine als angemessen zu erachtende Parteientschädigung von Fr. 4'500.– (inkl. Auslagen und Mehrwertsteuer) zuzusprechen. Die Vorinstanz hat kei- 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