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C-5620/2014 vom 10. Dezember 2015</w:t>
      </w:r>
    </w:p>
    <w:p>
      <w:r>
        <w:t>Bundesverwaltungsgericht, 2015-12-10, DE</w:t>
      </w:r>
    </w:p>
    <w:p>
      <w:r>
        <w:rPr>
          <w:b/>
        </w:rPr>
        <w:t xml:space="preserve">Quelle: </w:t>
      </w:r>
      <w:r>
        <w:t>https://mcp.opencaselaw.ch/entscheid/bvger_C-5620_2014</w:t>
      </w:r>
    </w:p>
    <w:p>
      <w:r>
        <w:t>FR: TAF C-5620/2014 du 10 décembre 2015</w:t>
      </w:r>
    </w:p>
    <w:p>
      <w:r>
        <w:t>IT: TAF C-5620/2014 del 10 dicembre 2015</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25. August 2014 berührt und hat ein schutzwürdiges Interesse an deren Anfechtung (Art. 59 ATSG). Er ist daher zur Beschwerde legitimiert.</w:t>
      </w:r>
    </w:p>
    <w:p>
      <w:r>
        <w:rPr>
          <w:b/>
        </w:rPr>
        <w:t>E. 1.4</w:t>
      </w:r>
    </w:p>
    <w:p>
      <w:r>
        <w:t>Da die Beschwerde im Übrigen frist- und formgerecht eingereicht wurde, ist auf die Beschwerde einzutreten (60 ATSG, Art. 52 VwVG).</w:t>
      </w:r>
    </w:p>
    <w:p>
      <w:r>
        <w:rPr>
          <w:b/>
        </w:rPr>
        <w:t>E. 2.1</w:t>
      </w:r>
    </w:p>
    <w:p>
      <w:r>
        <w:t>Der Beschwerdeführer ist slowenischer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Ebenso zu beachten sind vorliegend die am 1. April 2012 für die Schweiz anwendbar gewordenen neuen EU-Verordnungen (insb. Verordnung [EG] Nr. 883/2004 und Verordnung [EG] Nr. 987/2009).</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der IVV (SR 831.201), dem ATSG sowie der ATSV (SR 830.11).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Slowenien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 (vgl. Urteil des Bundesverwaltungsgerichts C-2712/2013 vom 24. September 2015 E. 2.2).</w:t>
      </w:r>
    </w:p>
    <w:p>
      <w:r>
        <w:rPr>
          <w:b/>
        </w:rPr>
        <w:t>E. 3.1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25. August 2014)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w:t>
      </w:r>
    </w:p>
    <w:p>
      <w:r>
        <w:rPr>
          <w:b/>
        </w:rPr>
        <w:t>E. 3.2</w:t>
      </w:r>
    </w:p>
    <w:p>
      <w:r>
        <w:t>Bei den materiellen Bestimmungen des IVG und der IVV sind bis zum 31. Dezember 2007 das IVG und das ATSG in der Fassung vom 21. März 2003, die IVV in der Fassung vom 21. Mai 2003 (4. IV-Revision, AS 2003 3837 beziehungsweise AS 2003 3859) und ab dem 1. Januar 2008 die mit der 5. IV-Revision in Kraft getretenen Gesetzes- und Verordnungsän-derungen anwendbar (AS 2007 5129 und AS 2007 5155).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4.1</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 Rumo-Jungo [Hrsg.], Soziale Sicherheit -Soziale Unsicherheit, Bern 2010, S. 413 f.). Auf dem Gebiet der Invalidenversicherung obliegen die-se Pflichten der zuständigen IV-Stelle (Art. 54 bis 56 in Verbindung mit Art. 57 Abs. 1 Bst. c bis g IVG).</w:t>
      </w:r>
    </w:p>
    <w:p>
      <w:r>
        <w:rPr>
          <w:b/>
        </w:rPr>
        <w:t>E. 5.3</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5.5</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w:t>
      </w:r>
    </w:p>
    <w:p>
      <w:r>
        <w:rPr>
          <w:b/>
        </w:rPr>
        <w:t>E. 5.6</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655/05vom 20. März 2006 E. 5.4 mit Hinweisen; vgl. aber Urteil des BGer 9C_24/2008vom 27. Mai 2008 E. 2.3.2).</w:t>
      </w:r>
    </w:p>
    <w:p>
      <w:r>
        <w:rPr>
          <w:b/>
        </w:rPr>
        <w:t>E. 5.7</w:t>
      </w:r>
    </w:p>
    <w:p>
      <w:r>
        <w:t>Gemäss Art. 59 Abs. 2bis IVG stehen die regionalen ärztlichen Dienste den IV-Stellen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Gestützt auf die Angaben des medizinischen Dienstes kann die IV-Stelle über die Leistungsberechtigung befinden, wobei sie auf die Stel-lungnahmen des medizinischen Dienstes nur abstellen kann, wenn diese den allgemeinen beweisrechtlichen Anforderungen an einen ärztlichen Bericht genügen (Urteil des BGer 9C_1063/2009 vom 22. Januar 2010 E. 4.2.3 mit Hinweis auf das Urteil des Eidgenössischen Versicherungsge-richts [EVG, seit 1. Januar 2007: Sozialrechtliche Abteilungen des Bun-desgerichts] I 694/05 vom 15. Dezember 2006 E. 2). Nimmt der medizini-sche Dienst selber keine Untersuchung vor, hat der versicherungsinterne Arzt zunächst zu überprüfen, ob die medizinischen Akten ein vollständi-ges Bild über Anamnese, Verlauf und gegenwärtigen Status ergeben re-spektive ob ein von ihm angefordertes Gutachten den Anforderungen der Rechtsprechung entspricht und die im konkreten Fall erforderlichen Un-tersuchungen vorgenommen und dokumentiert wurden (vgl. zu den An-forderungen an einen Aktenbericht die Urteile des BGer 8C_653/2009 vom 28. Oktober 2009 E. 5.2 und I 1094/06 vom 14. November 2007 E. 3.1.1).</w:t>
      </w:r>
    </w:p>
    <w:p>
      <w:r>
        <w:rPr>
          <w:b/>
        </w:rPr>
        <w:t>E. 5.8</w:t>
      </w:r>
    </w:p>
    <w:p>
      <w:r>
        <w:t>Auch wenn die Rechtsprechung den Berichten versicherungsinterner medizinischer Fachpersonen stets Beweiswert zuerkannt hat, ist doch zu betonen, dass ihnen praxisgemäss nicht dieselbe Beweiskraft zukommt wie einem gerichtlichen oder in einem Verfahren nach Art. 44 ATSG vom Versicherungsträger in Auftrag gegebenen Gutachten (vgl. BGE 135 465 E. 4.4, unter Hinweis auf BGE 125 V 351 E. 3a und BGE 122 V 157 E. 1c). Zur Frage der Berichte und Gutachten versicherungsinterner Fachpersonen wurde der Grundsatz betont, wonach ein Anstellungsverhältnis dieser Person zum Versicherungsträger alleine nicht schon auf mangelnde Objektivität und Befangenheit schliessen lässt [..]. Soll allerdings ein Versicherungsfall ohne Einholung eines externen Gutachtens entschieden werden, so sind an die Beweiswürdigung strenge Anforderungen zu stellen. Bestehen auch nur geringe Zweifel an der Zuverlässigkeit und Schlüssigkeit der versicherungsinternen Feststellungen, so sind ergänzende Abklärungen vorzunehmen (vgl. BGE 122 V 157 E. 1d sowie BGE 135 V 465 E. 4.4). Um solche Zweifel auszuräumen, wird das Gericht vielmehr entweder ein Gerichtsgutachten anzuordnen oder die Sache an den Versicherungsträger zurückzuweisen haben, damit dieser im Verfahren nach Art. 44 ATSG eine Begutachtung veranlasst (BGE 135 V 465 E. 4.6).</w:t>
      </w:r>
    </w:p>
    <w:p>
      <w:r>
        <w:rPr>
          <w:b/>
        </w:rPr>
        <w:t>E. 6.1</w:t>
      </w:r>
    </w:p>
    <w:p>
      <w:r>
        <w:t>Einleitend ist festzuhalten, dass der Beschwerdeführer gemäss For-mular E 205 (Versicherungsverlauf in der Schweiz) eine Gesamtversiche-rungszeit von 69 Monaten aufweist, womit er die Mindestbeitragsdauer nach Art. 36 Abs. 1 IVG erfüllt (doc. 12). Damit bleibt zu prüfen, ob die Vorinstanz mit Verfügung vom 25. August 2014 den Rentenantrag des Beschwerdeführers zu Recht abgewiesen hat</w:t>
      </w:r>
    </w:p>
    <w:p>
      <w:r>
        <w:rPr>
          <w:b/>
        </w:rPr>
        <w:t>E. 6.2</w:t>
      </w:r>
    </w:p>
    <w:p>
      <w:r>
        <w:t>Es befinden sich die folgenden massgeblichen medizinischen Unterlagen in den Akten: - Der Entlassungsbericht des chirurgischen Dienstes des allgemeinen Krankenhauses Y._______ (Serbien) vom 28. Oktober 2010, nach Aufnahme am 25. Oktober 2010 wegen Autounfalls, mit folgenden Diagnosen (doc. 33): Abdomen acutum traumaticum, ruptura lienis, haematoperitoneum (T91.5), luxatio genus I. dex. (S83) sowie ruptura LCA, LCP et LCM genus I. dex. Folgende Eingriffe seien am 25. Oktober 2010 nach dem Unfall des Beschwerdeführers durchgeführt worden: Lap. mediana. sup. et part. inf; splenectomia facta (Milzentfernung); exploratio cavi abdominis; drainage subphrenici sin. et cavi Douglasi. Der Patient sei auf eigenen Wunsch vorzeitig zur Fortsetzung der Behandlung in Z._______ entlassen worden. - Der Bericht der internistischen Notfall-Ambulanz des allgemeinen Krankenhauses W._______ vom 11. November 2010 (doc. 26, 2. Seite fehlt) hält fest, der Patient sei nach einer Milzentfernung wegen Dehiszenz (Aufklaffen) der Wunde und Luxation des Knies hospitalisiert und in der internistischen Notfallambulanz wegen des Verdachts auf eine hämatologische Erkrankung untersucht worden. Im Vergleich zu den Befunden in der chirurgischen Abteilung sei das Hämoglobin etwas höher, die Trombozyten hätten ungefähr den gleichen Wert, die Leukozyten seien abgefallen, das Differentialblutbild sei normal. Der Patient sei nach Anleitung zur medikamentösen Behandlung gleichentags entlassen worden. - Dr. E._______, Facharzt für Chirurgie des allgemeinen Krankenhauses W._______, stellte in seinem Bericht vom 25. November 2010 (doc. 25, 31) einen Zustand nach Splenektomie (Milzentfernung, Z98.8) sowie einen Zustand nach Luxation des rechten Knies (Ruptur LCA, LCP und LCM) fest. Das Knie sei geschwollen, erkennbar sei eine Atrophie der Schenkelmuskulatur Er empfahl weiterhin das Tragen einer Tutorlonguette und erachtete den Patienten unfähig zur Ausübung einer schwierigen körperlichen Arbeit. - Im Bericht vom 25. November 2010 hielt die chirurgische Abteilung des allgemeinen Krankenhauses W._______, nach einem stationären Aufenthalt des Beschwerdeführers vom 1. bis 5. November 2010, eine Infektion der postoperativen Wunde nach Splenektomie (T79.8), einen Zustand nach Splenektomie (Z98.8), einen Zustand nach Luxation des rechten Knies (T93.3), eine Ruptur LCA, LCP und LCM des rechten Knies (S83.5) sowie einen Status febrilis (R.50.9) fest (doc. 27, 2. Seite fehlt). - Dr. E._______ des allgemeinen Krankenhauses W._______ hielt in seinem Bericht vom 26. Januar 2011 fest, das Knie sei geschwollen, eine Instabilität bestehe vor allem anterolateral, erkennbar sei eine Atrophie der Schenkelmuskulatur, die Beweglichkeit sei nicht vollständig, auf dem Abdomen sei ein Nabelbruch unmittelbar über dem Nabel sichtbar, der Bruch sei vorläufig klein. Er diagnostizierte u.a. einen Zustand nach Splenektomie (Milzentfernung) und nach Luxation des rechten Knies sowie eine Hernia umbilicalis (Nabelbruch) postoperativ (doc. 34). - Im Bericht von Dr. F._______ (chirurgische Ambulanz des allgemeinen Krankenhauses W._______) vom 13. Mai 2011 wurde nach einem Treppensturz des Beschwerdeführers am 6. Mai 2011 eine distorsio ATC rechts sowie eine distensio musculi adductore femoris links festgestellt. Der Beschwerdeführer wurde gleichentags mit der Anweisung, sich beim Hausarzt für eine schmerzlindernde Physiotherapie und zu Übungen für die Schenkmuskulatur zu melden, entlassen (doc. 24). - Die radiologische Untersuchung des rechten Knies durch das diagnostische Radiologiezentrum Z._______ vom 21. Juni 2011 (Dr. G._______) ergab einen grossen Erguss, eine suspekte Synovitis (Entzündung der Gelenkkapsel), einen Zustand nach Kontusion der Patella, eine Ruptur des medialen Meniskus, eine grössere partielle Ruptur des medialen Kollateralligaments, eine vollständige Ruptur des mittleren Kreuzbandes, eine suspekte Ruptur des hinteren Kreuzbandes sowie eine partielle Ruptur des lateralen Kollateralligaments (doc. 35) - Am 14. September 2011 diagnostizierte Dr. H._______ der internistischen Notfallambulanz des allgemeinen Krankenhauses W._______ den Verdacht auf eine chronische myeloproliferative Krankheit (bösartige Erkrankung der blutbildenden Organe) sowie einen Zustand nach Splenektomie. Der Patient sei für morgen zur Operation einer postoperativen Umbilikalhernie bestellt. Nun werde er in die hämotologische Ambulanz der Poliklinik des Unikrankenhauses Z._______ bestellt; die Operation sei (inzwischen) annulliert worden (doc. 30). - Die Abteilung für Hämatologie des klinischen Zentrums Z._______ (Dr. I._______) stellte am 20. September 2011 eine reaktive Thrombozytose nach Entfernung der Milz sowie reaktive Leukozytose fest (doc. 37). Dieselbe Abteilung hielt am 29. September 2011 fest, die Ergebnisse der Untersuchungen bestätigten die Thrombozyten-Dysfunktion. Der Patient habe sehr wahrscheinlich eine essentielle Thrombozytämie (doc.38). - Die hämatologische Ambulanz des Universitätsspitals Z._______ (Dr. I._______) stellte am 1. Dezember 2011 nach erfolgten Laboruntersuchungen eine reaktive Leukozytose wegen des Rauchens und eine Thrombozyten-Dysfunktion fest. Sie ordnete die Einnahme von Aspirin an und empfahl die Einstellung des Rauchens (doc. 36). - Am 11. Januar 2012 diagnostizierte das chirurgische Sanatorium V._______, wo der Patient wegen einer Hernie im Bereich des Nabels untersucht wurde, eine appendicitis acuta i.o. (Blinddarmentzündung), hernia postoperativa ventralis (Bauchbruch postoperativ) und einen Status post splenectomiam (Status nach Milzentfernung), und verwies den Patienten an die Chirurgie des Krankenhauses Z._______ (doc. 29). - Die klinische Abteilung für Abdominalchirurgie des Universitätsspitals Z._______ (Dr. J._______) hielt am 12. Januar 2012 (doc. 28) fest, dass der Patient wegen des klinischen Bildes einer akuten Apppendizitis aufgenommen worden sei. Die Schmerzen seien 3 Tage vorher aufgetaucht, zunächst im Epigastrium, dann über dem gesamten Abdomen. Das Labor habe erhöhte Entzündungsparameter festgestellt. Der Patient wurde am 12. Januar 2012 nach Hause entlassen. - Laut Bericht von Dr. E._______ vom 14. November 2012 (doc. 32) wurde der Patient vom 9. bis 11. November 2012 zur Sanierung der postoperativen Ventralhernie behandelt. Es erfolgte ein operatives Einsetzen eines Netzes (Hernioplastic). Am 14. November 2012 sei die Entlassung auf eigenen Wunsch erfolgt. - Das Gutachten der Invalidenkommission des slowenischen Versicherungsträgers vom 13. November 2012 unter dem Vorsitz von Dr. C._______, Facharzt für Orthopädie (doc. 23, 47). In der Anamnese erwähnen die Ärzte, dass der Untersuchte am 25. Oktober 2010 bei einem Verkehrsunfall verletzt worden sei. Dabei sei es zu einer Verletzung des Abdomens gekommen, die Milz sei entfernt worden, es sei zu einer komplexen Verletzung des rechten Knies mit Luxation und komplexer Verletzung der Bänder gekommen, weswegen er bei Chirurgen und Orthopäden operiert worden sei. Später habe sich nach der Operation des Abdomens ein postoperativer Bruch entwickelt. Es sei ein operativer Eingriff wegen dieses Bruchs vorgesehen, später gegebenenfalls auch eine komplexe Rekonstruktion der verletzten Bänder des rechen Knies. Als Diagnosen werden ein Status nach komplexer Verletzung der Bänder des rechten Knies (LCM, LCL, LCA, LCP, T93.5), ein Zustand nach Splenektomie wegen Verletzung der Milz (Z98.8), sowie eine Thrombozyten-Dysfunktion diagnostiziert. Der Versicherte werde ab dem 13. November 2012 wegen der Folgen der Verletzung ausserhalb der Arbeit der zweiten Invaliditätskategorie zugeteilt, für eine Arbeit an einem anderen Arbeitsplatz sei keine berufliche Rehabilitation möglich, die ihm wegen seines Alters nicht gewährleistet werde. Er sei von Beruf Bauarbeiter / Maurer; die Belastungen an diesem Arbeitsplatz stünden in einem ausgeprägten Widerspruch zur starken Pathologie des rechen Knies nach der Verletzung, die lange bleiben werde. Die Operation selbst könne aber wegen der Thrombozyten-Dysfunktion problematisch sein, ihr Ausgang sei wegen der starken Verletzung der Bänder und des Alters des Versicherten fraglich. Für den Erhalt einer Arbeit mit entsprechenden Entlastungen wäre eine berufliche Rehabilitation erforderlich, die aber wegen seines Alters nicht zweckmässig sei. - Der RAD-Arzt, Dr. B._______ (Allgemeinmediziner FMH), hielt am 22. April 2014 aufgrund der medizinischen Unterlagen einen Status nach Verkehrsunfall mit vollständiger Knieinstabilität rechts bei Status nach Laparatomie (Öffnen der Bauchhöhle) und Splenektomie am 25.10.2010, Status nach Operation einer posttraumatischen Umbilikalhernie (Nabelbruch) am 9.11.2012 und eine Thrombozytose mit Thrombozyten-Dysfunktion fest. Die einzige Verletzung, welche als invalidisierend zurückgeblieben sei, sei die totale Knieinstabilität wegen der Ruptur aller Bänder nach Knieluxation. Eine stabilisierende Operation könne wegen Blutungs- und Komplikationsgefahr aus hämatologischen Gründen nicht erfolgen. In seiner angestammten Tätigkeit sei der Versicherte zu 100% arbeitsunfähig; eine angepasste, streng sitzende Tätigkeit sei aber 6 Monate nach dem Unfall ab dem 1. Mai 2011 zu 100% zumutbar. Die anderen Diagnosen (Status nach Operation einer posttraumatischen Nabelhernie, Thrombozytose) hätten keinen Einfluss auf die Arbeitsfähigkeit in einer streng sitzenden Tätigkeit (doc. 40). - Der Bericht von Dr. C._______ vom 13. Juni 2014 (doc. 48/50) hielt nebst einem Status nach schwerer ligamentärer Verletzung des rechten Knies mit sich ergebender Instabilität, dem Status nach Splenektomie und dem Status nach operativer umbikaler Hernie und gestörter Thrombozytenfunktion einen Status nach einer Schnittverletzung des rechten Unterarms fest, bei einem möglichen Schaden der Nervenstruktur. Der Patient erhalte heute eine Vierpunkt-Schiene für sein rechtes Knie, eine Operation komme nicht in Frag. Der rechte Arm weise eine funktionale Minderwertigkeit auf. Zu weiteren Abklärungen der Schnittverletzung, deren Natur und des Grades der Verletzung der Nervenstrukturen überweise er den Patienten zu einer EMG der oberen Extremitäten. - Der RAD-Arzt bestätigte in seiner Stellungnahme vom 19. August 2014 (doc. 52) seine Einschätzungen vom 22. April 2014. Zum Status nach einer Schnittverletzung hielt er fest, dass die beschriebenen Symptome weder zu einer klaren Nervenverletzung noch zu einer strukturell tiefen Muskelverletzung passten. Die im RAD-Bericht vom 22. April 2014 beschriebenen funktionellen Einschränkungen (doc. 40 S. 3) schlössen die Verletzung am rechten Vorderarm mit ein.</w:t>
      </w:r>
    </w:p>
    <w:p>
      <w:r>
        <w:rPr>
          <w:b/>
        </w:rPr>
        <w:t>E. 7.1</w:t>
      </w:r>
    </w:p>
    <w:p>
      <w:r>
        <w:t>Übereinstimmend äussern sich der RAD-Arzt, Dr. B._______, und der Gutachter des slowenischen Versicherungsträgers, Dr. C._______, Facharzt für Chirurgie, zum Zustand des rechten Knies des Beschwerdeführers. Der RAD-Arzt hält in seiner Stellungnahme vom 22. April 2014 eine totale Knieinstabilität wegen der Ruptur aller Bänder nach Knieluxation fest (doc. 40); Dr. C._______ beschreibt in seinem Gutachten vom 13. November 2012 einen Status nach komplexen Verletzungen der Bänder des rechten Knies (LCM, LCL, LCA, LCP, T93.5, vgl. doc. 23 p. 5, doc. 47 p. 5). Ebenfalls übereinstimmend stellen die beiden Ärzte die erfolgte Splenektomie wegen Milzruptur sowie eine Thrombozytose fest sowie die Tatsache, dass aufgrund der Thrombozyten-Dysfunktion eine Operation des Knies problematisch sei (doc. 23 p. 5, doc. 40. P. 1,2). Der RAD-Arzt erwähnt zusätzlich den Status nach Operation einer posttraumatischen Umbilikalhernie (Nabelbruch), welche am 9. November 2012, also vor dem Gutachten von Dr. C._______ erfolgte. Im Bericht von Dr. C._______ vom 13. Juni 2014 (doc. 48, 50), welcher im Rahmen des Einwandverfahrens eingereicht wurde, wird diese Operation des Nabelbruchs bestätigt. Die übereinstimmenden medizinischen Feststellungen der beiden Ärzte zu den Knieverletzungen, der Splenektomie, der Thrombozytose und des Nabelbruchs werden durch umfangreiche medizinische Unterlagen gestützt und sind ausgewiesen.</w:t>
      </w:r>
    </w:p>
    <w:p>
      <w:r>
        <w:rPr>
          <w:b/>
        </w:rPr>
        <w:t>E. 7.2.1</w:t>
      </w:r>
    </w:p>
    <w:p>
      <w:r>
        <w:t>Zu den Auswirkungen der schweren Knieverletzung auf die Erwerbsfähigkeit ist seitens der Ärzte ebenfalls unbestritten, dass der Beschwerdeführer in seiner angestammten Tätigkeit als Bauarbeiter / Mauer arbeitsunfähig ist (doc. 23 p. 5, doc. 40 p. 1).</w:t>
      </w:r>
    </w:p>
    <w:p>
      <w:r>
        <w:rPr>
          <w:b/>
        </w:rPr>
        <w:t>E. 7.2.2</w:t>
      </w:r>
    </w:p>
    <w:p>
      <w:r>
        <w:t>Ergänzend führt der RAD-Arzt aus, die einzige Verletzung, welche schliesslich als invalidisierend zurückgeblieben sei, sei die totale Knieinstabilität wegen der Ruptur aller Bänder nach Knieluxation. Eine stabilisierende Operation könne wegen Blutungs- und Komplikationsgefahr aus hämatologischen Gründen nicht erfolgen. In seiner angestammten Tätigkeit sei der Versicherte zu 100% arbeitsunfähig; eine angepasste, streng sitzende Tätigkeit sei aber 6 Monate nach dem Unfall ab dem 1. Mai 2011 zu 100% zumutbar. Die anderen Diagnosen (Status nach Operation einer posttraumatischen Nabelhernie, Thrombozytose) hätten keinen Einfluss auf die Arbeitsfähigkeit in einer streng sitzenden Tätigkeit (doc. 40).</w:t>
      </w:r>
    </w:p>
    <w:p>
      <w:r>
        <w:rPr>
          <w:b/>
        </w:rPr>
        <w:t>E. 7.2.3</w:t>
      </w:r>
    </w:p>
    <w:p>
      <w:r>
        <w:t>Dr. C._______ führt die Arbeitsunfähigkeit in seinem Gutachten vom 13. November 2012 (doc. 23) ebenfalls einzig auf die Kniebeschwerden zurück. Der Versicherte werde ab dem 13. November 2012 wegen der Folgen der Verletzung ausserhalb der Arbeit der zweiten Invaliditätskategorie zugeteilt. Für eine Arbeit an einem anderen Arbeitsplatz sei keine berufliche Rehabilitation möglich, da diese wegen seines Alters nicht zweckmässig sei. Der Versicherte sei von Beruf Bauarbeiter / Maurer. Die Belastungen an diesem Arbeitsplatz stünden in einem ausgeprägten Widerspruch zur starken Pathologie des rechten Knies nach der Verletzung, die lange bleiben werde. Die Operation selbst könne wegen der Thrombozyten-Dysfunktion problematisch sein, ihr Ausgang sei aber wegen der starken Verletzung der Bänder und des Alters des Versicherten fraglich. Für den Erhalt einer Arbeit mit entsprechender Entlastung wäre eine berufliche Rehabilitation erforderlich, die aber wegen des Alters nicht zweckmässig sei. Die Einschätzungen der Ärzte zu den Auswirkungen der Kniebeschwerden sind nachvollziehbar, schlüssig und deshalb nicht zu beanstanden, auch wenn die Beurteilung des Invaliditätsgrades unterschiedlich ausfällt (Schweiz 29%, Slowenien 45% [B-act. 17 Beilage 2]). Diese unterschiedliche Beurteilung ist auf die unterschiedliche Gesetzgebung der beiden Länder und auf die bundesgerichtliche Praxis zu den noch zumutbaren Verweistätigkeiten zurückzuführen. Die strengere Beurteilung durch die Vorinstanz ist angesichts der Tatsache, dass vorliegend ausschliesslich Schweizer Recht zur Anwendung gelangt (vgl. vorne E. 2.2), nicht zu beanstanden. Die entsprechenden Rügen des Beschwerdeführers sind unberechtigt. Ebenso übereinstimmend stellen die Ärzte fest, dass die erfolgte Milzentfernung und die erfolgte Operation des Nabelbruchs sowie die bestehende Thrombozyten-Dysfunktion keine Auswirkungen auf die Arbeitsfähigkeit des Beschwerdeführers haben. Auch diese Schlussfolgerung ist schlüssig, nachvollziehbar und deshalb nicht zu beanstanden.</w:t>
      </w:r>
    </w:p>
    <w:p>
      <w:r>
        <w:rPr>
          <w:b/>
        </w:rPr>
        <w:t>E. 8.1</w:t>
      </w:r>
    </w:p>
    <w:p>
      <w:r>
        <w:t>In der Einsprache und der Beschwerde rügt der Beschwerdeführer, der Bericht von Dr. C._______ vom 13. Juni 2014 (doc. 50) stelle nebst der schweren Knieverletzung zusätzlich eine Verletzung an der rechten Hand fest, welche sich auf die Arbeitsfähigkeit auswirke und von der Vorinstanz nicht berücksichtigt worden sei.</w:t>
      </w:r>
    </w:p>
    <w:p>
      <w:r>
        <w:rPr>
          <w:b/>
        </w:rPr>
        <w:t>E. 8.2</w:t>
      </w:r>
    </w:p>
    <w:p>
      <w:r>
        <w:t>Im Bericht von Dr. C._______ vom 13. Juni 2014 (doc. 50) wird zur Armverletzung ausgeführt, im Mai vorigen Jahres habe sich der Versicherte an der Unterarminnenseite geschnitten. Der Beschwerdeführer berichte noch immer von einer verringerten Fingerkraft der rechten Hand und einem veränderten Gefühlsempfinden am Unterarm und den Fingern. Er habe eine Quernarbe an der Volarseite unterhalb des rechten Ellenbogens, eine geschwächte Muskelkraft vor allem der Flexoren, sowie eine Hypästhesie am Unterarm bis zu den Fingern. Bei der beschriebenen Schnittwunde sei es wahrscheinlich neben der Muskelverletzung zu einer Beschädigung der Nerven gekommen. Die gebliebene Störung könnte am besten durch eine EMG-Untersuchung definiert werden; deswegen überweise er den Patienten zu einem EMG der oberen Extremitäten.</w:t>
      </w:r>
    </w:p>
    <w:p>
      <w:r>
        <w:rPr>
          <w:b/>
        </w:rPr>
        <w:t>E. 8.3</w:t>
      </w:r>
    </w:p>
    <w:p>
      <w:r>
        <w:t>Der RAD-Arzt führt dagegen in seiner ergänzenden Beurteilung vom 19. August 2014 aus, im Bericht von Dr. C._______ würde weder die Natur dieser Verletzung noch der Hergang beschrieben; es stehe nur, dass die Fingerkraft verringert und ein verändertes Gefühlsempfinden am Unterarm und an den Fingern vorhanden sei; diese Beschreibungen passten aber weder zu einer klaren Nervenverletzung noch zu einer strukturell tiefen Muskelverletzung; eine nervenbedingte Lähmung der Fingerbeugemuskulatur würde einer Verletzung eines Nervs viel weiter proximal erfordern; ein vermindertes Gefühl im beschriebenen Bereich wäre höchstens durch eine Verletzung eines oberflächigen Hautnervs erklärbar, was aber an der Funktion der rechten Hand wenig ändere. Zudem schlössen die seinem Bericht vom 22. April 2014 beschriebenen funktionellen Einschränkungen die Verletzungen am rechten Vorderarm mit ein (doc. 52).</w:t>
      </w:r>
    </w:p>
    <w:p>
      <w:r>
        <w:rPr>
          <w:b/>
        </w:rPr>
        <w:t>E. 8.4</w:t>
      </w:r>
    </w:p>
    <w:p>
      <w:r>
        <w:t>Zu den Auswirkungen der Schnittverletzung am Unterarm auf die Arbeitsfähigkeit des Beschwerdeführers liegen also unterschiedliche Auffassungen der beiden Ärzte vor. Da die Schlussfolgerungen der Ärzte sich widersprechen, ist die Beweiskraft der medizinischen Unterlagen hinsichtlich der Armverletzung zu würdigen.</w:t>
      </w:r>
    </w:p>
    <w:p>
      <w:r>
        <w:rPr>
          <w:b/>
        </w:rPr>
        <w:t>E. 8.5.1</w:t>
      </w:r>
    </w:p>
    <w:p>
      <w:r>
        <w:t>Vorliegend geht aus den Akten zwar nicht zweifelsfrei hervor, ob der Bericht von Dr. C._______ vom 13. Juni 2014 (doc. 50) als Gutachten (jährliches Gutachten zuhanden des slowenischen Versicherungsträgers) oder als Arztbericht zu werten ist. Die Tatsache, dass Dr. C._______ im vorliegenden Fall schon als Gutachter für den serbischen Versicherungsträger aktiv war, sowie der Vermerk "gültig bis 14. Juni 2015" lassen indes darauf schliessen, dass es sich um ein Gutachten zuhanden des serbischen Versicherungsträgers handelt und somit von erheblichem Beweiswert und nicht mit Vorbehalt zu würdigen ist (vgl. vorne E. 5.6). Das Gutachten von Dr. C._______ ist nachvollziehbar und schlüssig. Er stellt im Wesentlichen - aufgrund einer eigenen Untersuchung - fest, dass es bei der beschriebenen Schnittwunde wahrscheinlich neben der Muskelverletzung zu einer Beschädigung der Nerven gekommen sei. Zur genauen Abklärung sei eine EMG-Untersuchung notwendig.</w:t>
      </w:r>
    </w:p>
    <w:p>
      <w:r>
        <w:rPr>
          <w:b/>
        </w:rPr>
        <w:t>E. 8.5.2</w:t>
      </w:r>
    </w:p>
    <w:p>
      <w:r>
        <w:t>Der RAD-Arzt hat den Beschwerdeführer nicht selber untersucht. Seine Schlussfolgerungen bezüglich der Armverletzung in seiner Stellungnahme vom 19. August 2014 (doc. 52) stützen sich ausschliesslich auf das Gutachten von Dr. C._______, allerdings mit gegenteiligen Schlussfolgerungen. Die Ausführungen des RAD-Arztes, wonach die vom Beschwerdeführer beschriebenen Einschränkungen weder zu einer klaren Nervenverletzung noch zu einer strukturell tiefen Muskelverletzung passten, sind indes nicht im Detail begründet. Seine ergänzende Ausführung, dass eine nervenbedingte Lähmung der Fingerbeugemuskulatur einer Verletzung eines Nervs viel weiter proximal erfordern würde, und dass ein vermindertes Gefühl im beschriebenen Bereich höchstens durch eine Verletzung eines oberflächigen Hautnervs erklärbar wäre, was aber an der Funktion der rechten Hand wenig ändere, ist ebenfalls nicht im Detail begründet. Nicht aktenkundig ist zudem die von Dr. C._______ angeordnete EMG-Untersuchung des rechen Arms, die weiteren Aufschluss über die Schwere der Schnittverletzung geben würde. Ebenfalls schwer nachvollziehbar ist zudem seine Feststellung, wonach die in seinem Bericht vom 22. April 2014 (doc. 40) beschriebenen funktionellen Einschränkungen die Verletzungen am rechten Vorderarm bereits mit eingeschlossen hätten. Denn im erwähnten Bericht vom 22. April 2014 sind unter dem Titel "Funktionelle Einschränkungen" zwar die Positionen "Arbeitsposition sitzend" sowie "Gehstrecke limitiert" angekreuzt, nicht aber "Heben von Gewichten"; eine Armverletzung würde das Heben von Gewichten zumindest erschweren. Das Gutachten von Dr. C._______ vom 13. Juni 2014 ist deshalb insgesamt geeignet, Zweifel an den Schlussfolgerungen des RAD-Arztes in Bezug auf die Auswirkungen der Armverletzung auf die Arbeitsfähigkeit des Beschwerdeführers zu wecken. Der RAD-Arzt hält in seiner Stellungnahme (doc. 52) zudem selber ausdrücklich fest, dass weder der Unfallhergang noch die Natur der Verletzung klar seien. Vorliegend soll der Versicherungsfall ohne persönliche Begutachtung und ohne Einholung eines externen Gutachtens beurteilt werden, weshalb an die Beweiswürdigung strenge Anforderungen zu stellen sind. Selbst bei leichten Zweifeln sind weitere Abklärungen vorzunehmen oder anzuordnen (vgl. vorne E. 5.8).</w:t>
      </w:r>
    </w:p>
    <w:p>
      <w:r>
        <w:rPr>
          <w:b/>
        </w:rPr>
        <w:t>E. 8.6</w:t>
      </w:r>
    </w:p>
    <w:p>
      <w:r>
        <w:t>Insgesamt ist vorliegend der Sachverhalt in Bezug auf die Auswirkungen der Armverletzung auf die Arbeitsfähigkeit des Beschwerdeführers nicht vollständig abgeklärt worden (vgl. vorne E. 5.2). Vor diesem Hintergrund und aufgrund der Aktenlage ist deshalb nicht mit dem im Sozialversicherungsrecht üblichen Beweisgrad der überwiegenden Wahrscheinlichkeit (vgl. BGE 126 V 353 E. 5b) anzunehmen, dass die Armverletzung sich nicht auf die Arbeitsfähigkeit auswirkt. Die Vorinstanz hat es unterlassen, entsprechende weitere Abklärungen vorzunehmen oder zu veranlassen; eine antizipierte Beweiswürdigung war vorliegend unzulässig (vgl. vorne E. 5.3).</w:t>
      </w:r>
    </w:p>
    <w:p>
      <w:r>
        <w:rPr>
          <w:b/>
        </w:rPr>
        <w:t>E. 9</w:t>
      </w:r>
    </w:p>
    <w:p>
      <w:r>
        <w:t>Die angefochten Verfügung ist deshalb aufzuheben und die Sache an die Vorinstanz zurückzuweisen, damit diese, in Ergänzung der bisherigen Feststellungen, die Auswirkungen der Armverletzung auf die Arbeitsfähigkeit des Beschwerdeführers bei Dr. C._______ (allenfalls unter Beizug eines Neurologen) ergänzend abklären lasse und eine nachvollziehbare Begründung zur Arbeitsfähigkeit und zur Resterwerbstätigkeit vornehme und über den Rentenanspruch neu verfüge. Vorliegend sind keine Gründe ersichtlich, die der Rückweisung der Sache zur weiteren Abklärung an die IVSTA entgegenstehen würden, zumal vorliegend eine ergänzende Begutachtung zu einer erstmals abzuklärenden gesundheitlichen Einschränkung vorzunehmen ist (BGE 137 V 210 E. 4.4.1.4). Deshalb ist auch der Antrag des Beschwerdeführers, es sei ein gerichtliches Gutachten in Auftrag zu geben, abzuweisen.</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Eine Rückweisung gilt praxisgemäss als Obsiegen der beschwerdeführenden Partei (BGE 132 V 215 E. 6), sodass dieser keine Verfahrenskosten aufzuerlegen sind. Der Vorinstanz werden ebenfalls keine Verfahrenskosten auferlegt (Art. 63 Abs. 2 VwVG).</w:t>
      </w:r>
    </w:p>
    <w:p>
      <w:r>
        <w:rPr>
          <w:b/>
        </w:rPr>
        <w:t>E. 10.2</w:t>
      </w:r>
    </w:p>
    <w:p>
      <w:r>
        <w:t>Dem teilweise obsiegenden, jedoch anwaltlich nicht vertretenen Beschwerdeführer sind keine notwendigen und verhältnismässig hohen Kosten entstanden, weshalb keine Parteientschädigung auszurichten ist (Art. 64 Abs. 1 VwVG e contrario und Art. 7 Abs. 1 des Reglements vom 21. Februar 2008 über die Kosten und Entschädigungen vor dem Bundeverwaltungsgericht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