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C-5619/2014 vom 2. Dezember 2015</w:t>
      </w:r>
    </w:p>
    <w:p>
      <w:r>
        <w:t>Bundesverwaltungsgericht, 2015-12-02, DE</w:t>
      </w:r>
    </w:p>
    <w:p>
      <w:r>
        <w:rPr>
          <w:b/>
        </w:rPr>
        <w:t xml:space="preserve">Quelle: </w:t>
      </w:r>
      <w:r>
        <w:t>https://mcp.opencaselaw.ch/entscheid/bvger_C-5619_2014</w:t>
      </w:r>
    </w:p>
    <w:p>
      <w:r>
        <w:t>FR: TAF C-5619/2014 du 2 décembre 2015</w:t>
      </w:r>
    </w:p>
    <w:p>
      <w:r>
        <w:t>IT: TAF C-5619/2014 del 2 dicembre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zur Beschwerde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Gestützt auf die Umstände des Einzelfalls ist jeweils eine Prog­nose zu stellen. Dabei ist naturgemäss in erster Linie das vergan­gene Verhalten der betroffenen Person zu berücksichtigen, zumal ein ver­gangenes deliktisches Verhalten geeignet ist, einen Hinweis auf eine allfäl­lige Gefährdung zu liefern. Aus diesem Grund verknüpft Art. 67 Abs. 2 Bst. a AuG die Verhängung einer Fernhaltemassnahme unter anderem mit einem (bereits erfolgten) Verstoss gegen die fraglichen Polizeigüter. Art. 80 Abs. 1 der Verordnung vom 24. Oktober 2007 über Zulassung, Auf­enthalt und Erwerbstätigkeit (VZAE, SR 142.201) konkretisiert, wie der Begriff des "Verstosses" nach Art. 67 Abs. 2 Bst. a AuG zu verstehen ist; so hält er fest, dass u.a. eine Missachtung gesetzlicher Vorschriften und be­hördlicher Verfügungen dazu zählt (vgl. Urteil des BVGer C-4489/2013 vom 23. Januar 2014 E. 5.2 mit Hinweisen).</w:t>
      </w:r>
    </w:p>
    <w:p>
      <w:r>
        <w:rPr>
          <w:b/>
        </w:rPr>
        <w:t>E. 3.3</w:t>
      </w:r>
    </w:p>
    <w:p>
      <w:r>
        <w:t>Einen Verstoss gegen die öffentliche Sicherheit und Ordnung im Sinne von Art. 67 Abs. 2 Bst. a AuG begeht u.a. auch, wer Normen des Ausländerrechts zuwiderhandelt.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Stelle zu informie­ren (vgl. C-4489/2013 E. 6.1 mit Hin­weis).</w:t>
      </w:r>
    </w:p>
    <w:p>
      <w:r>
        <w:rPr>
          <w:b/>
        </w:rPr>
        <w:t>E. 4.1</w:t>
      </w:r>
    </w:p>
    <w:p>
      <w:r>
        <w:t>Die Vorinstanz begründet ihre Verfügung damit, dass der Beschwerde­führer durch die zuständige Behörde aus der Schweiz wegge­wiesen werden musste und er der ihm angesetzten Ausreisefrist nicht nachgekommen ist. Sie beruft sich dabei auf den Fernhaltegrund von Art. 67 Abs. 1 Bst. b AuG.</w:t>
      </w:r>
    </w:p>
    <w:p>
      <w:r>
        <w:rPr>
          <w:b/>
        </w:rPr>
        <w:t>E. 4.2</w:t>
      </w:r>
    </w:p>
    <w:p>
      <w:r>
        <w:t>Im vorliegenden Fall ist unbestritten, dass der Beschwerdeführer rechtskräftig aus der Schweiz weggewiesen wurde, ist doch der vor-instanzliche Asyl- und Wegweisungsentscheid mit Urteil des Bundesverwaltungsgerichts D 1935/2014 vom 12. Mai 2014 in Rechtskraft erwachsen. Bezüglich der ihm angesetzten Ausreisefrist machte er jedoch bereits anlässlich seiner Vorsprache bei der kantonalen Migrationsbehörde vom 11. September 2014 geltend, am 28. Mai 2014 versteckt in einem Lastwagen in Richtung Türkei ausgereist und am 10. September 2014 von der Türkei herkommend wiederum im Lastwagen in die Schweiz eingereist zu sein. Anlässlich der erneuten Ablehnung des Asylgesuchs erachtete das BFM dieses Vorbringen als wenig glaubhaft. Zum einen würden bereits die üblichen Schleppergebühren für zwei Reisen innerhalb weniger Monate (Rückreise in die Türkei und Wiederausreise in Richtung Schweiz) als (zu) hoch erscheinen; zum anderen habe der Beschwerdeführer keinerlei Belege für eine tatsächliche Rückreise in die Türkei beibringen können. In casu kann sich das Bundesverwaltungsgericht dieser Auffassung vorbehaltlos anschliessen, womit der Beschwerdeführer den von der Vorinstanz aufgeführten Fernhaltegrund gesetzt hat. Daran ändert auch der Umstand nichts, dass dasselbe Gericht im Asylverfahren die Frage, ob der Beschwerdeführer nach Abschluss des ersten Asylverfahrens tatsächlich in die Türkei zurückgekehrt ist, mangels Asylrelevanz offen gelassen hat (vgl. Urteil des BVGer D-6340/2014).</w:t>
      </w:r>
    </w:p>
    <w:p>
      <w:r>
        <w:rPr>
          <w:b/>
        </w:rPr>
        <w:t>E. 4.3</w:t>
      </w:r>
    </w:p>
    <w:p>
      <w:r>
        <w:t>Kommt hinzu, dass der Beschwerdeführer mit seinem Verhalten auch gegen behördliche Anordnungen verstossen hat, gibt er doch selber zu, der Vorladung der kantonalen Migrationsbehörde betreffend seine Rückkehr bzw. Ausweisung keine Folge geleistet zu haben, um einer Ausschaffung in sein Heimatland mit vorheriger Inhaftierung zu entgehen. Durch sein Untertauchen hat er sich bewusst der Ausreisekontrolle durch die zuständigen Behörden entzogen und damit fraglos gegen die öffentliche Sicherheit und Ordnung in der Schweiz im Sinne von Art. 67 Abs. 2 Bst. a AuG verstossen (vgl. E. 3.3 hievor). Obwohl sich die Vorinstanz in der Begründung der angefochtenen Entscheidung nicht auf diese Bestimmung gestützt hat, ist dieser Fernhaltegrund bei der Beurteilung der Rechtmässigkeit der angefochtenen Verfügung im Rahmen der Rechtsanwendung von Amtes wegen dennoch zu beachten. Gemäss Art. 62 Abs. 4 VwVG kann das Bundesverwaltungs­gericht eine Beschwerde auch aus anderen als den geltend gemachten Gründen gutheissen oder abweisen (zur Zulässigkeit der Motivsubstitution vgl. Kölz et al, Verwaltungsverfahren und Verwaltungsrechtspflege des Bundes, 3. Aufl., 2013, Rz. 1136 oder Urteil des BVGer C-2348/2012 vom 28. August 2013 E. 4.5.4 m.H.). Dass der Beschwerdeführer weiterhin nicht gewillt ist, die schweizerische Rechtsordnung zu beachten, zeigt sich daran, dass er - nach rechtskräftiger Abweisung seines zweiten Asylgesuches - erneut untergetaucht ist und seit dem 13. Mai 2015 als "verschwunden" gilt.</w:t>
      </w:r>
    </w:p>
    <w:p>
      <w:r>
        <w:rPr>
          <w:b/>
        </w:rPr>
        <w:t>E. 4.4</w:t>
      </w:r>
    </w:p>
    <w:p>
      <w:r>
        <w:t>Nach dem Gesagten hat der Beschwerdeführer klarerweise hinreichenden Anlass für die Verhängung eines Einreiseverbots gegeben.</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5.2</w:t>
      </w:r>
    </w:p>
    <w:p>
      <w:r>
        <w:t>Das Verhalten des Beschwerdeführers ist zweifelsohne geeignet, die fremdenpolizeiliche Ordnung ernsthaft zu beeinträchtigen. Wie aus den Akten hervorgeht, traf er trotz rechtskräftig abgewiesenen Asylgesuchen keinerlei Anstalten, die Schweiz aus freien Stücken zu verlassen und brachte mit seinem Untertauchen wiederholt zum Ausdruck, im Asylverfahren gefällte negative Entscheide nicht zu akzeptieren. Er hat sich diesbezüglich bewusst über die Rechtsordnung hinweggesetzt. Aus seinem manifestierten Verhalten wird auf eine Gefährdung der öffentlichen Sicherheit und Ordnung geschlossen. Das Einreiseverbot hat in erster Linie präventiven Charakter, um einem weiteren illegalen Aufenthalt des Beschwerdeführers entgegenzuwirken. Die Vorinstanz war demnach berechtigt, zur Abwendung künftiger Störungen ein Einreiseverbot zu verhängen. Im Zusammenhang mit der Einhaltung der ausländerrechtlichen Ordnung kommt den Vorschriften über Einreise und Aufenthalt zentrale Bedeutung zu. Es gilt sicherzustellen, dass sich ausschliesslich Personen in der Schweiz aufhalten, die dazu auch befugt sind, und durchzusetzen, dass andere, welche die Voraussetzungen nicht erfüllen, gar nicht erst einreisen bzw. das Land auf behördliche Anordnung hin auch tatsächlich verlassen. Namentlich das generalpräventiv motivierte Interesse, die ausländerrechtliche Ordnung durch eine konsequente Massnahmenpraxis zu schützen, ist als gewichtig zu betrachten (zur Zulässigkeit der Berücksichtigung generalpräventiver Aspekte in Konstellationen, in denen wie hier kein sogenannter Vertragsausländer betroffen ist, vgl. Urteil des BGer 2C_282/2012 vom 31. Juli 2012 E. 2.5 mit Hinweisen).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 3348/2012 vom 20. März 2014 E. 5.2 m.H.). Es besteht somit ein gewichtiges öffentliches Interesse an der Fernhaltung des Beschwerdeführers.</w:t>
      </w:r>
    </w:p>
    <w:p>
      <w:r>
        <w:rPr>
          <w:b/>
        </w:rPr>
        <w:t>E. 5.3</w:t>
      </w:r>
    </w:p>
    <w:p>
      <w:r>
        <w:t>Spezifische persönliche Interessen daran, auch in naher Zukunft ohne besondere (über die Visumspflicht) hinausgehende Restriktionen in die Schweiz einreisen zu können, macht der Beschwerdeführer keine geltend.</w:t>
      </w:r>
    </w:p>
    <w:p>
      <w:r>
        <w:rPr>
          <w:b/>
        </w:rPr>
        <w:t>E. 5.4</w:t>
      </w:r>
    </w:p>
    <w:p>
      <w:r>
        <w:t>Das Bundesverwaltungsgericht kommt daher zum Schluss, dass das gegen den Beschwerdeführer verhängte und auf drei Jahre befristete Einreiseverbot eine verhältnismässige und angemessene Massnahme zum Schutze der öffentlichen Sicherheit und Ordnung darstellt.</w:t>
      </w:r>
    </w:p>
    <w:p>
      <w:r>
        <w:rPr>
          <w:b/>
        </w:rPr>
        <w:t>E. 6</w:t>
      </w:r>
    </w:p>
    <w:p>
      <w:r>
        <w:t>Die Vorinstanz hat in der angefochtenen Verfügung ferner die Ausschreibung des Einreiseverbots im SIS II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 wie oben ausgeführt - von einer nicht unbeachtlichen Gefährdung der öffentlichen Sicherheit und Ordnung auszugehen, zum andern hat die Schweiz die Interessen der Gesamtheit aller Schengen-Staaten zu wahren (vgl. BVGE 2011/48 E. 6.1). Es bleibt den Schengen-Staaten dabei unbenommen, der ausgeschriebenen Person bei Vorliegen besonderer Gründe die Einreise ins eigene Hoheitsgebiet zu gestatten (vgl. auch Art. 67 Abs. 5 AuG). Die Voraussetzungen für die Ausschreibung im SIS sind demnach erfüllt.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9</w:t>
      </w:r>
    </w:p>
    <w:p>
      <w:r>
        <w:t>Infolge des unbekannten Aufenthaltes des Beschwerdeführers ist der vorliegende Entscheid durch Publikation im Bundesblatt zu eröffnen (vgl. Art. 36 Bst. a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