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C-5602/2012 vom 16. Januar 2015</w:t>
      </w:r>
    </w:p>
    <w:p>
      <w:r>
        <w:t>Bundesverwaltungsgericht, 2015-01-16, DE</w:t>
      </w:r>
    </w:p>
    <w:p>
      <w:r>
        <w:rPr>
          <w:b/>
        </w:rPr>
        <w:t xml:space="preserve">Quelle: </w:t>
      </w:r>
      <w:r>
        <w:t>https://mcp.opencaselaw.ch/entscheid/bvger_C-5602_2012</w:t>
      </w:r>
    </w:p>
    <w:p>
      <w:r>
        <w:t>FR: TAF C-5602/2012 du 16 janvier 2015</w:t>
      </w:r>
    </w:p>
    <w:p>
      <w:r>
        <w:t>IT: TAF C-5602/2012 del 16 gennaio 2015</w:t>
      </w:r>
    </w:p>
    <w:p>
      <w:pPr>
        <w:pStyle w:val="Heading2"/>
      </w:pPr>
      <w:r>
        <w:t>Regeste</w:t>
      </w:r>
    </w:p>
    <w:p>
      <w:r>
        <w:t>Einreiseverbot</w:t>
      </w:r>
    </w:p>
    <w:p>
      <w:pPr>
        <w:pStyle w:val="Heading2"/>
      </w:pPr>
      <w:r>
        <w:t>Erwägungen</w:t>
      </w:r>
    </w:p>
    <w:p>
      <w:r>
        <w:rPr>
          <w:b/>
        </w:rPr>
        <w:t>E. 1</w:t>
      </w:r>
    </w:p>
    <w:p>
      <w:r>
        <w:t>Verfügungen des BFM, mit denen ein Einreiseverbot im Sinne von Art. 67 des Ausländergesetzes (AuG, SR 142.20) verhängt wird, unterliegen der Beschwerde an das Bundesverwaltungsgericht (Art. 112 Abs. 1 AuG i.V.m. Art. 31 ff. VGG).</w:t>
      </w:r>
    </w:p>
    <w:p>
      <w:r>
        <w:rPr>
          <w:b/>
        </w:rPr>
        <w:t>E. 1.1</w:t>
      </w:r>
    </w:p>
    <w:p>
      <w:r>
        <w:t>Das Rechtsmittelverfahren vor dem Bundesverwaltungsgericht richtet sich nach dem VwVG, soweit das Verwaltungsgerichtsgesetz nichts anderes bestimmt (Art. 37 VGG).</w:t>
      </w:r>
    </w:p>
    <w:p>
      <w:r>
        <w:rPr>
          <w:b/>
        </w:rPr>
        <w:t>E. 1.2</w:t>
      </w:r>
    </w:p>
    <w:p>
      <w:r>
        <w:t>Der Beschwerdeführer ist zur Erhebung des Rechtsmittels legitimiert (Art. 48 Abs. 1 VwVG). Auf die im Übrigen frist- und formgerecht eingereichte Beschwerde ist somit einzutreten (Art. 50 und 52 VwVG).</w:t>
      </w:r>
    </w:p>
    <w:p>
      <w:r>
        <w:rPr>
          <w:b/>
        </w:rPr>
        <w:t>E. 1.3</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ausländischen Personen verfügen, die ge­gen die öffentliche Sicherheit und Ordnung in der Schweiz oder im Aus­land verstossen haben oder diese gefährden (Art. 67 Abs. 2 Bst. a AuG), Sozialhilfekosten verursacht haben (Art. 67 Abs. 2 Bst. b AuG) oder in Vorbereitungs-, Ausschaffung- oder Durchsetzungshaft genommen wor­den sind (Art. 67 Abs. 2 Bst. c AuG). Das Einreiseverbot wird grundsätz­lich für eine Dauer von höchstens fünf Jahren verhängt. Für eine längere Dauer kann es verfügt werden, wenn von der betroffenen Person eine schwerwiegende Gefahr für die öffentliche Sicherheit und Ordnung aus­geht (Art. 67 Abs. 3 AuG).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Ordnung und Sicherheit (BBl 2002 3709, 3813). Soweit Art. 67 Abs. 2 Bst. a AuG mit dem Verstoss gegen die öffentliche Sicherheit und Ordnung unmittelbar an bereits verwirklichtes Fehlverhalten des Betroffe­nen anknüpft, steht die Gefahrenabwehr durch Generalprävention im Sinne der Einwirkung auf die anderen Rechtsgenossen im Vordergrund (zur Generalprävention im Ausländerrecht vgl. etwa Urteil des Bundesge­richts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voraus, dass konkrete Anhalts­punkte für mit erheblicher Wahrscheinlichkeit drohende Verstösse gegen diese Polizeigüter bestehen (Art. 80 Abs. 2 VZAE).</w:t>
      </w:r>
    </w:p>
    <w:p>
      <w:r>
        <w:rPr>
          <w:b/>
        </w:rPr>
        <w:t>E. 5.1</w:t>
      </w:r>
    </w:p>
    <w:p>
      <w:r>
        <w:t>Der Beschwerdeführer trat während der Dauer seines Aufenthaltes in der Schweiz immer wieder strafrechtlich in Erscheinung und musste des­halb mehrmals zu Freiheitsstrafen verurteilt werden. Mit der abgeurteilten Delinquenz - insbesondere derjenigen gegen die Betäubungsmittelge­setzgebung - hat er in erheblichem Masse gegen die öffentliche Sicher­heit und Ord­nung verstossen bzw. polizeiliche Schutzgüter gefährdet. Er hat damit ei­nen Fernhaltegrund im Sinne von Art. 67 Abs. 2 Bst. a AuG gesetzt. An­lass zur Verhängung einer Fernhaltemassnahme hat er aber auch mit seiner wiederholten Missachtung behördlicher Ausreiseaufforde­rungen und der dadurch erwirkten Ausschaffungshaft geschaffen (Art. 67 Abs. 1 Bst. b bzw. Art. 67 Abs. 2 Bst. c AuG). Schliesslich musste der Be­schwerdeführer zeitweise von der öffentlichen Sozialhilfe unterstützt wer­den. Damit hat er Fernhaltegründe im Sinne von Art. 67 Abs. 2 Bst. b AuG gesetzt.</w:t>
      </w:r>
    </w:p>
    <w:p>
      <w:r>
        <w:rPr>
          <w:b/>
        </w:rPr>
        <w:t>E. 5.2</w:t>
      </w:r>
    </w:p>
    <w:p>
      <w:r>
        <w:t>Das angefochtene Einreiseverbot gilt für eine Dauer von 10 Jahren. In einem weiteren Schritt ist deshalb zu prüfen, ob die Voraussetzungen gemäss Art. 67 Abs. 3 Satz 2 AuG (schwerwiegende Gefahr für die öffentliche Sicherheit und Ordnung) erfüllt sind, welche die Verhängung eines mehr als fünfjährigen Einreiseverbots zulassen.</w:t>
      </w:r>
    </w:p>
    <w:p>
      <w:r>
        <w:rPr>
          <w:b/>
        </w:rPr>
        <w:t>E. 6.1</w:t>
      </w:r>
    </w:p>
    <w:p>
      <w:r>
        <w:t>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zählt namentlich der Ter­rorismus, der Menschen- und der Drogenhandel sowie die organisierte Kriminalität. Eine entsprechend qualifizierte Gefährdung kann sich über­dies aus einer zunehmend schwereren Delinquenz bei Wiederholungstä­tern mit ungünstiger Legalprognose ergeben. Die zu befürchtenden Delik­te müssen einzeln oder in ihrer Gesamtheit das Potential haben, um eine aktuelle und schwerwiegende Gefahr zu begründen (vgl. BGE 139 II 121 E. 6.3; BVGE 2013/4 E. 7.2.4; Urteil des Bundesverwaltungsgerichts C-4898/2012 vom 1. Mai 2014 E.5.4 mit Hinweisen).</w:t>
      </w:r>
    </w:p>
    <w:p>
      <w:r>
        <w:rPr>
          <w:b/>
        </w:rPr>
        <w:t>E. 6.2</w:t>
      </w:r>
    </w:p>
    <w:p>
      <w:r>
        <w:t>Eine Störung der öffentlichen Sicherheit und Ordnung durch Dro­genhandel kann nach dem soeben Gesagten schon allein angesichts der besonderen Hochwertigkeit der involvierten Rechtsgüter als Grundlage für die Annahme einer schwerwiegenden Gefahr im Sinne von Art. 67 Abs. 3 zweiter Satz AuG dienen. Vorauszusetzen ist allerdings auch, dass die Wahrscheinlichkeit ihrer Realisierung hinreichend gross ist. Sie muss signifikant höher sein als diejenige, die der Annahme einer rechtlich relevanten Gefahr im Sinne von Art. 67 Abs. 2 Bst. a AuG zugrunde liegt.</w:t>
      </w:r>
    </w:p>
    <w:p>
      <w:r>
        <w:rPr>
          <w:b/>
        </w:rPr>
        <w:t>E. 6.3</w:t>
      </w:r>
    </w:p>
    <w:p>
      <w:r>
        <w:t>Der Beschwerdeführer musste im November 2002 - also nur gera­de rund zwei Monate nach seiner Einreise in die Schweiz - erstmals we­gen Drogendelikten zur Rechenschaft gezogen werden. In der Folge wurde er immer wieder in der Dro­genszene der Stadt Bern angehalten. Selbst eine im August 2003 über ihn verfügte administrative Ausgrenzung konnte nicht verhindern, dass er die städtische Drogenszene weiterhin frequen­tierte. Am 22. Oktober 2003 erging gegen ihn ein weiteres Strafur­teil we­gen Drogendelikten. Die schliesslich vom Kreisgericht II Biel-Nidau in dessen Urteil vom 3. November 2010 abgeurteilte Delinquenz gegen die Betäubungsmittelgesetzgebung erstreckte sich über Zeiträume in den Jahren 2003 und 2004 (Verkauf einer unbestimmten Menge Kokainge­mischs), Februar und März 2006 (Verarbeiten von ca. 200 Gramm Koka­inge­mischs) sowie Herbst 2007 bis zur Festnahme des Beschwerdefüh­rers im Dezember 2008 (Kauf von insgesamt ca. 1750 Gramm Kokain­gemischs, Anstalten treffen zum Verkauf von 500 Gramm Kokainge­mischs sowie Verkauf von insge­samt ca. 1'050 Gramm Kokaingemischs an verschiedene Abnehmer). Daraus ergibt sich nicht nur, dass der Beschwerdeführer praktisch ab seiner Einreise und in der Folge während Jahren verbotenerweise mit Drogen in Kontakt war, sondern auch, dass seine Delinquenz im Verlaufe der Zeit eine stark zunehmende Tendenz aufwies und nur durch die Festnahme beendet wurde.</w:t>
      </w:r>
    </w:p>
    <w:p>
      <w:r>
        <w:rPr>
          <w:b/>
        </w:rPr>
        <w:t>E. 6.3.1</w:t>
      </w:r>
    </w:p>
    <w:p>
      <w:r>
        <w:t>Zur Tatkomponente führte das Strafgericht Biel-Nidau in der Begründung seines Urteils vom 3. November 2010 u.a. aus, dass die vom Beschwerdeführer begangenen Delikte eine Menge von insgesamt 384.7 Gramm reinen Kokains betroffen hätten und er damit die Grenze zur mengenmässigen Qualifikation nicht bloss knapp, sondern um mehr als das ca. 21-fache überschritten habe. Nebst der umgesetzten Menge sei­en auch die lange Zeitdauer der Widerhandlungen und die (hohe) Anzahl abgewickelter Drogengeschäfte zu berücksichtigen (Urteilsbegründung vom 3. Dezember 2010, E. 5.1, S. 49). Das Gericht hielt weiter fest, der Beschwerdeführer habe über einen relativ langen Zeitraum hinweg einen, insbesondere in den letzten Monaten vor seiner Verhaftung, ziemlich schwunghaften Kokainhandel betrieben. Dabei habe er auf der Stufe ei­nes Zwischenhändlers gestanden, der grössere Mengen im Bereich von 50 bis 500 Gramm Kokain erworben, diese Mengen noch ein letztes Mal gestreckt und hiernach an die Gassenverkäufer weiterverkauft habe. Für seine Zwecke habe er auch andere Leute eingespannt, sei aber die be­stimmende Person im Drogenhandel gewesen (Urteilsbegründung des Strafgerichts, a.a.O., E. 5.2, S. 50). Er habe vorsätzlich und ohne eigene Suchtsituation gehandelt; es hätten rein pekuniäre und ausschliesslich egoistische Motive im Vordergrund gestanden (Urteilsbegründung des Strafgerichts, a.a.O., E. 5.3 und 5.4, S. 50).</w:t>
      </w:r>
    </w:p>
    <w:p>
      <w:r>
        <w:rPr>
          <w:b/>
        </w:rPr>
        <w:t>E. 6.3.2</w:t>
      </w:r>
    </w:p>
    <w:p>
      <w:r>
        <w:t>Im Zusammenhang mit der Täterkomponente erwog das Strafge­richt, dass sich die bis dahin erwirkten Vorstrafen zu Ungunsten des Be­schwerdeführers auswirkten (Urteilsbegründung, a.a.O, E. 6.1, S. 52). Andererseits wurde die Tatsache, dass er in weiten Teilen geständig war und aufgrund seiner Aussagen mehrere andere Täter des Drogenhandels überführt werden konnten, vom Strafgericht strafmindernd berücksichtigt (Urteilsbegründung, a.a.O, E. 6.3, S. 54).</w:t>
      </w:r>
    </w:p>
    <w:p>
      <w:r>
        <w:rPr>
          <w:b/>
        </w:rPr>
        <w:t>E. 6.3.3</w:t>
      </w:r>
    </w:p>
    <w:p>
      <w:r>
        <w:t>In Berücksichtigung aller Tat- und Täterkomponenten würdigte das Strafgericht das Verschulden des Beschwerdeführers insgesamt als sehr schwer (Urteilsbegründung, a.a.O., E. 7, S. 55).</w:t>
      </w:r>
    </w:p>
    <w:p>
      <w:r>
        <w:rPr>
          <w:b/>
        </w:rPr>
        <w:t>E. 6.3.4</w:t>
      </w:r>
    </w:p>
    <w:p>
      <w:r>
        <w:t>Die dem Beschwerdeführer zur Last gelegten Straftaten sprechen ge­nerell für eine besondere Tätergefährlichkeit, denn qualifizierte Wider­handlungen gegen das Betäubungsmittelgesetz haben nicht nur in Bezug auf den Kreis der Opfer, sondern auch angesichts ihrer räumlichen Aus­breitungsmöglichkeiten gravierende Auswirkungen. Die Begründung des Strafurteils vom 3. November 2010 erlaubt in Bezug auf den Beschwerde­führer keine andere Betrachtungsweise, geht doch aus ihr hervor, dass dieser keineswegs aus der Not heraus straffällig wurde. Selbst wenn bei ihm nur ein geringes Rückfallrisiko bestehen sollte, so ist dieses Risiko angesichts der bedrohten Rechtsgüter nicht hinzunehmen.</w:t>
      </w:r>
    </w:p>
    <w:p>
      <w:r>
        <w:rPr>
          <w:b/>
        </w:rPr>
        <w:t>E. 6.4</w:t>
      </w:r>
    </w:p>
    <w:p>
      <w:r>
        <w:t>Damit ist festzustellen, dass beim Beschwerdeführer von einer schwerwie­genden Gefahr für die öffentliche Sicherheit und Ordnung aus­zugehen und eine Überschreitung der fünfjährigen Regelhöchstdauer des Einreiseverbots gemäss Art. 67 Abs. 3 AuG demnach zulässig ist.</w:t>
      </w:r>
    </w:p>
    <w:p>
      <w:r>
        <w:rPr>
          <w:b/>
        </w:rPr>
        <w:t>E. 7.1</w:t>
      </w:r>
    </w:p>
    <w:p>
      <w:r>
        <w:t>Der Entscheid darüber, ob ein Einreiseverbot anzuordnen und wie es innerhalb des zulässigen zeitlichen Rahmens zu befristen ist, legen Art. 67 Abs. 2 und Abs. 3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2010, Rz. 613 ff.).</w:t>
      </w:r>
    </w:p>
    <w:p>
      <w:r>
        <w:rPr>
          <w:b/>
        </w:rPr>
        <w:t>E. 7.2</w:t>
      </w:r>
    </w:p>
    <w:p>
      <w:r>
        <w:t>Das öffentliche Interesse an einer Fernhaltung von Ausländern, die durch Handel mit sogenannt harten Drogen die Gesundheit vieler gefähr­den, ist objektiv betrachtet gross. Solche Delinquenten sind nach Mög­lichkeit von der Schweiz fernzuhalten. Damit soll der weiteren Ausbrei­tung des verbotenen Handels mit Betäubungsmitteln entgegengewirkt werden. Aufgrund der Häufigkeit solcher Taten ist zum Schutz der Allge­meinheit durch eine kontinuierliche und strenge Verwaltungspraxis zu verdeutlichen, dass ernsthafte Widerhandlungen gegen das Betäu­bungsmittelgesetz mit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Urteil des Bundesverwaltungs­gerichts C-2681/2010 vom 6. Mai 2011 E. 5.4 mit Hinweis).</w:t>
      </w:r>
    </w:p>
    <w:p>
      <w:r>
        <w:rPr>
          <w:b/>
        </w:rPr>
        <w:t>E. 7.3</w:t>
      </w:r>
    </w:p>
    <w:p>
      <w:r>
        <w:t>Das öffentliche Interesse an einer Fernhaltung des Beschwerdefüh­rers ist aber auch in subjektiver Hinsicht hoch zu gewichten. Der Be­schwerdeführer hat nach dem bereits Gesagten über einen langen Zeit­raum hinweg mit stark zunehmender Tendenz delinquiert und konnte da­rin nur durch seine Festnahme gestoppt werden. Er befand sich dabei nicht in einer Notlage und war auch nicht selbst drogenabhängig, sondern handelte aus reiner Gewinnsucht und mit egoistischen Motiven. Dabei liess er sich weder von gegen ihn erwirkten Vorstrafen noch von der Tat­sache abhalten, dass er Vater zweier ausserehelich geborener Kinder wurde und zeitweise mit diesen und der Kindsmutter zusammen lebte.</w:t>
      </w:r>
    </w:p>
    <w:p>
      <w:r>
        <w:rPr>
          <w:b/>
        </w:rPr>
        <w:t>E. 7.4</w:t>
      </w:r>
    </w:p>
    <w:p>
      <w:r>
        <w:t>Zum stark belasteten strafrechtlichen Leumund kommt hinzu, dass der Beschwerdeführer sich wiederholt Ausreiseverpflichtungen entzogen hat und illegal im Land verblieben ist, sowie der Umstand, dass er zeitweise von der öffentlichen Sozialhilfe unterstützt werden musste.</w:t>
      </w:r>
    </w:p>
    <w:p>
      <w:r>
        <w:rPr>
          <w:b/>
        </w:rPr>
        <w:t>E. 7.5</w:t>
      </w:r>
    </w:p>
    <w:p>
      <w:r>
        <w:t>Den öffentlichen Interessen an seiner Fernhaltung stellt der Beschwerdeführer sein privates Interesse an möglichst ungehinderten persönlichen Kontakten zu seinen in der Schweiz lebenden Kindern entgegen.</w:t>
      </w:r>
    </w:p>
    <w:p>
      <w:r>
        <w:rPr>
          <w:b/>
        </w:rPr>
        <w:t>E. 7.5.1</w:t>
      </w:r>
    </w:p>
    <w:p>
      <w:r>
        <w:t>Mit diesen Interessen hat sich - im Rahmen des vorangegangenen Verfahrens um Nichterneuerung der Aufenthaltsbewilligung und Wegweisung aus der Schweiz - bereits die Migrationsbehörde der Stadt Biel und haben sich die ihr übergeordneten Rechtsmittelinstanzen bis hin zum Bundesgericht befasst. Das Verwaltungsgericht des Kantons Bern hielt dazu in seinem Urteil vom 18. April 2012 fest, dass die Mutter der beiden 2006 bzw. 2007 geborenen Kinder alleinige Inhaberin der elterlichen Sorge gewesen sei, der Kindsvater sich aber bis zu seiner Festnahme im Dezember 2008 täglich um seine Kinder gekümmert habe, zumal er mit diesen und der Kindsmutter in einem gemeinsamen Haushalt lebte. Während der Inhaftierung sei der Vater von seinen Kindern aber nur etwa fünf Mal besucht worden. Da die Mutter in der Folge ihre elterlichen Pflichten verletzt habe, habe ihr die Vormund­schaftsbehörde die Obhut entzogen und über die Kinder Beistand­schaften errichtet. Seit März 2011 lebten die Kinder in einem Heim. Seither nehme der Vater ein begleitetes Besuchsrecht von zwei Stunden pro Monat wahr.</w:t>
      </w:r>
    </w:p>
    <w:p>
      <w:r>
        <w:rPr>
          <w:b/>
        </w:rPr>
        <w:t>E. 7.5.2</w:t>
      </w:r>
    </w:p>
    <w:p>
      <w:r>
        <w:t>Das kantonale Verwaltungsgericht schloss aus diesen faktischen Verhältnissen und der über weite Strecken fehlenden finanziellen Unter­stützung, dass weder in affektiver noch in wirtschaftlicher Hinsicht eine besonders enge Beziehung zwischen dem Beschwerdeführer und seinen Kindern bestand. Dass sich daran in der Zwischenzeit wesentliches ge­ändert hätte, wird weder geltend gemacht, noch ergibt es sich aus den Akten.</w:t>
      </w:r>
    </w:p>
    <w:p>
      <w:r>
        <w:rPr>
          <w:b/>
        </w:rPr>
        <w:t>E. 7.5.3</w:t>
      </w:r>
    </w:p>
    <w:p>
      <w:r>
        <w:t>Der Anspruch auf Familienleben war in erster Linie im Aufent­haltsbewilligungsverfahren zu prüfen. Denn die Verwirklichung von Familienleben in der Schweiz ist für den Beschwerdeführer massgeblich mit der Frage eines dauernden Anwesenheitsrechts verknüpft. Tritt hinzu, dass das Einreiseverbot gesetzlich nicht absolut, sondern unter dem Vorbehalt von Ausnahmebewilligungen ausgestaltet ist. Die Vorinstanz hat in ihrer Vernehmlassung vom 8. Januar 2012 explizit auf die Möglichkeit hingewiesen, gestützt auf Art. 67 Abs. 5 AuG einzelfallweise um zeitlich befristete Suspension des Einreiseverbots zu ersuchen.</w:t>
      </w:r>
    </w:p>
    <w:p>
      <w:r>
        <w:rPr>
          <w:b/>
        </w:rPr>
        <w:t>E. 7.6</w:t>
      </w:r>
    </w:p>
    <w:p>
      <w:r>
        <w:t>Gesamthaft betrachtet kann daher den vom Beschwerdeführer geltend gemachten Beziehungsinteressen kein entscheidendes Gewicht zuerkannt werden.</w:t>
      </w:r>
    </w:p>
    <w:p>
      <w:r>
        <w:rPr>
          <w:b/>
        </w:rPr>
        <w:t>E. 7.7</w:t>
      </w:r>
    </w:p>
    <w:p>
      <w:r>
        <w:t>Eine wertende Gewichtung der sich gegenüberstehenden Interessen führt das Bundesverwaltungsgericht zum Schluss, dass die verhängte Massnahme sowohl vom Grundsatz her wie auch in der ausgesproche­nen Dauer eine verhältnismässige und angemessene Massnahme zum Schutze der öffentlichen Sicherheit und Ordnung darstellt.</w:t>
      </w:r>
    </w:p>
    <w:p>
      <w:r>
        <w:rPr>
          <w:b/>
        </w:rPr>
        <w:t>E. 8.1</w:t>
      </w:r>
    </w:p>
    <w:p>
      <w:r>
        <w:t>Zu prüfen bleibt die Rechtmässigkeit der von der Vorinstanz angeord­neten Ausschreibung des Einreiseverbots im SIS.</w:t>
      </w:r>
    </w:p>
    <w:p>
      <w:r>
        <w:rPr>
          <w:b/>
        </w:rPr>
        <w:t>E. 8.2</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1-32]).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8.3</w:t>
      </w:r>
    </w:p>
    <w:p>
      <w:r>
        <w:t>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4-239]).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8.4</w:t>
      </w:r>
    </w:p>
    <w:p>
      <w:r>
        <w:t>Der Beschwerdeführer kann als Drittstaatsangehöriger grundsätzlich zur Einreise- bzw. Aufenthaltsverweigerung im SIS ausgeschrieben wer­den. Die von ihm begangenen Drogendelikte erfüllen den von Art. 24 Ziff. 2 Bst. a SIS-II-Verordnung verlangten Schweregrad. Ob bei dieser Rechtslage der Entscheid über die Ausschreibung überhaupt in das Er­messen der zuständigen Behörde fällt, ist unklar, denn vom Wortlaut her scheint Art. 24 Ziff. 2 SIS-II-Verordnung einen Automatismus vorzusehen ("Eine Ausschreibung wird eingegeben, wenn [...]), während Art. 21 SIS-II-Verordnung unter dem Titel "Verhältnismässigkeit" verlangt, dass der ausschreibende Mitgliedstaat feststellt, "ob Angemessenheit, Relevanz und Bedeutung des Falles eine Aufnahme der Ausschreibung (...) recht­fertigen". Doch selbst wenn der Behörde ein Entschliessungsermessen zukäme, wofür gute Gründe angeführt werden können, wäre die Aus­schreibung angesichts der Schwere der vom Beschwerdeführer zu ver­antwortenden Straftaten und der von ihm ausgehenden Gefahr gerecht­fertigt, zumal die Schweiz nicht nur eigene Interessen zu wahren hat, sondern als getreue Sachwalterin zur Wahrung der Interessen der Ge­samtheit aller Schengen-Staaten verpflichtet ist (vgl. BVGE 2011/48 E. 6.1). Die mit der Ausschreibung einhergehende zusätzliche Beein­trächtigung seiner persönlichen Bewegungsfreiheit hat der Beschwerde­führer in Kauf zu nehmen.</w:t>
      </w:r>
    </w:p>
    <w:p>
      <w:r>
        <w:rPr>
          <w:b/>
        </w:rPr>
        <w:t>E. 9</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10</w:t>
      </w:r>
    </w:p>
    <w:p>
      <w:r>
        <w:t>Bei diesem Ausgang des Verfahrens sind dem Beschwerdeführer die Kos­ten aufzuerlegen (Art. 63 Abs. 1 VwVG i.V.m. Art. 1, Art. 2 und Art. 3 Bst. b des Reglements vom 21. Februar 2008 über die Kosten und Ent­schä­digungen vor dem Bundesverwaltungsgericht [SR 173.320.2]).</w:t>
      </w:r>
    </w:p>
    <w:p>
      <w:r>
        <w:rPr>
          <w:b/>
        </w:rPr>
        <w:t>E. 11</w:t>
      </w:r>
    </w:p>
    <w:p>
      <w:r>
        <w:t>In Ermangelung einer Zustelladresse in der Schweiz ist das Urteil in der Sache dem Beschwerdeführer durch Publikation im Bundesblatt zu eröff­nen (Art. 11b Abs. 1 und Art. 36 Bst. b VwVG).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