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C-5598/2009 vom 31. August 2011</w:t>
      </w:r>
    </w:p>
    <w:p>
      <w:r>
        <w:t>Bundesverwaltungsgericht, 2011-08-31, FR</w:t>
      </w:r>
    </w:p>
    <w:p>
      <w:r>
        <w:rPr>
          <w:b/>
        </w:rPr>
        <w:t xml:space="preserve">Quelle: </w:t>
      </w:r>
      <w:r>
        <w:t>https://mcp.opencaselaw.ch/entscheid/bvger_C-5598_2009</w:t>
      </w:r>
    </w:p>
    <w:p>
      <w:r>
        <w:t>FR: TAF C-5598/2009 du 31 août 2011</w:t>
      </w:r>
    </w:p>
    <w:p>
      <w:r>
        <w:t>IT: TAF C-5598/2009 del 31 agosto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Les recourants ont qualité pour recourir (art. 48 al. 1 PA). Présenté dans la forme et les délais prescrits par la loi, leur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3.1. Depuis le 1er janvier 2008, le statut juridique des étrangers en Suisse est régi par la loi fédérale du 16 décembre 2005 sur les étrangers (LEtr, RS 142.20)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Peter Uebersax/ Beat Rudin/ Thomas Hugi Yar/ 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 En l'espèce, en vertu des règles de procédure précitées, la compétence décisionnelle appartient à la Confédération, et plus particulièrement à l'ODM (cf. ATAF 2010/55 consid. 4.1 à 4.4; Andrea Good/Titus Bosshard, Ab­weichungen von den Zulassungsvoraussetzungen, in: Martina Caroni/ Thomas Gächter/ Daniela Turnherr [éd.], Bundesgesetz über die Ausländerinnen und Ausländer [AuG], Berne 2010, p. 228 n. 9 ad art. 30 LEtr) ainsi qu'au Tribunal, en vertu de l'effet dévolutif du recours (cf. art. 54 PA). Il s'ensuit que l'ODM et, a fortiori, le Tribunal ne sont pas liés par la décision des autorités vaudoises de police des étrangers de délivrer à la recourante une autorisation de séjour fondée sur l'art. 30 al. 1 let. b LEtr et peuvent donc parfaitement s'écarter de l'appréciation émise par ces autorités. 5.1. 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Good/ Bosshard, op. cit., p. 226s. n. 2 et 3 ad art. 30 LEtr). 5.2.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ATAF 2009/40 consid. 5 p. 567ss [sur la portée de l'art. 14 al. 2 let. c LAsi], spéc. consid. 5.2.2 p. 569s.; arrêt du Tribunal fédéral 8C_724/2009 du 11 juin 2010 consid. 5.3.1; Good/ Bosshard, op. cit., p. 227s. n. 7 ad art. 30 LEtr). 5.3. 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du 14 décembre 2010 consid. 5.3, partiellement publié in ATAF 2010/55; Alain Wurzburger, La jurisprudence récente du Tribunal fédéral en matière de police des étrangers, Revue de droit administratif et fiscal [RDAF] I 1997 p. 267ss, spéc. p. 292). 5.4. Avec la scolarisation, l'intégration au milieu suisse s'accentue. Dans cette perspective, il convient de tenir compte de l'âge de l'enfant (ou de l'adolescent)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Wurzburger, op. cit., p. 297s.). Cette pratique différenciée réalise la prise en compte de l'intérêt supérieur de l'enfant, telle qu'elle est prescrite par l'art. 3 al. 1 de la convention du 20 novembre 1989 relative aux droits de l'enfant (ci-après : CDE, RS 0.107), entrée en vigueur pour la Suisse le 26 mars 1997 (cf. arrêt du Tribunal fédéral 2A.679/2006 du 9 février 2007 consid. 3). 6.1. En l'occurrence, A._______ est arrivée en Suisse le 15 juin 2005 et y a vécu jusqu'au 28 novembre 2009, date à laquelle elle est retournée au Kosovo suite à la non-restitution de l'effet suspensif au présent recours. Elle a ainsi séjourné en Suisse pendant près de quatre ans et demi. Elle y a résidé d'abord en tant que requérante d'asile puis, soit dans le cadre de l'examen de ses conditions de séjour par les autorités cantonales de police des étrangers, soit illégalement. Elle ne saurait dès lors tirer parti de la durée de son séjour en Suisse, tantôt précaire, tantôt illégal, pour bénéficier d'une dérogation aux conditions d'admission (cf. ATAF 2007/16 consid. 7 p. 198s.). 6.2. S'il n'est pas contesté que la recourante a passé une partie de son adolescence - à savoir une période significative de son existence (cf. consid. 5.4) - sur le territoire helvétique, il n'en demeure pas moins qu'elle est arrivée en Suisse à un âge relativement avancé (seize ans et cinq mois) et qu'elle a effectué la quasi-totalité de sa scolarité dans son pays d'origine, de sorte qu'elle y dispose d'attaches socioculturelles importantes. Une fois en Suisse, elle a suivi deux années de perfectionnement scolaire d'août 2005 à juillet 2007, à l'issue desquelles elle s'est vu décerner le prix de l'orientation professionnelle. Dans plusieurs attestations, l'OPTI a souligné le comportement irréprochable et l'excellent travail dont elle avait fait preuve, de même que sa forte volonté d'intégration. La recourante a effectué de nombreux stages en vue de trouver une place d'apprentissage, sans toutefois y parvenir, ayant dans un premier temps été desservie par son manque de connaissances du français, puis par l'absence de papiers. Dans ses rapports de stage, elle a été notamment décrite comme une personne motivée, très souriante, ponctuelle, dynamique, de nature calme et agréable, faisant preuve d'autonomie et de maturité, et ayant entretenu d'excellents rapports avec ses collègues et supérieurs. Si le Tribunal n'entend pas remettre en cause les efforts d'intégration déployés par l'intéressée, force est de constater qu'elle n'a pas suivi en Suisse de formation comprenant l'apprentissage d'un métier et n'y a pas exercé d'emploi qui lui aurait fait acquérir des connaissances spécifiques, si bien que son retour au Kosovo n'apparaît pas être d'une rigueur excessive sous cet angle. 6.3. Au cours des quatre ans et demi qu'elle a passés en Suisse, elle s'est sans aucun doute créé un réseau social, notamment dans le club de mini-golf, au sein duquel elle s'est investie et était très appréciée. Il faut cependant retenir que son intégration sociale ne peut être qualifiée de réussie, au vu de sa condamnation à une peine pécuniaire de 60 jours-amende pour vol, le 28 septembre 2010. 6.4. Dans ces conditions, même si l'intéressée a vécu en Suisse une partie des années primordiales pour son développement, le Tribunal est d'avis qu'elle ne s'est pas créé en Suisse des attaches si profondes et irréversibles qu'un retour au pays d'origine, où elle a passé les seize premières années de son existence, constitue un déracinement particulier, bien qu'il ne soit pas dénué de difficultés. Par ailleurs, si le père et le frère de l'intéressée vivent en Suisse, celle-ci possède également de la famille proche au Kosovo, en particulier sa mère et sa soeur D._______, ainsi que des oncles et tantes, qui sont à même de la soutenir.</w:t>
      </w:r>
    </w:p>
    <w:p>
      <w:r>
        <w:rPr>
          <w:b/>
        </w:rPr>
        <w:t>E. 7</w:t>
      </w:r>
    </w:p>
    <w:p>
      <w:r>
        <w:t>Au vu de ce qui précède, après une appréciation de l'ensemble des circonstances propres au cas particulier, le Tribunal, à l'instar de l'autorité inférieure, arrive à la conclusion que la situation de A._______ n'est pas constitutive d'une situation d'extrême gravité au sens de l'art. 30 al. 1 let. b LEtr, en considération de la législation et de la pratique restrictives en la matière (cf. consid. 5.3 supra). C'est donc à juste titre que l'autorité inférieure a refusé de donner son aval à la délivrance, en faveur de l'intéressée, d'une autorisation de séjour (en dérogation aux conditions d'admission) fondée sur la disposition précitée.</w:t>
      </w:r>
    </w:p>
    <w:p>
      <w:r>
        <w:rPr>
          <w:b/>
        </w:rPr>
        <w:t>E. 8</w:t>
      </w:r>
    </w:p>
    <w:p>
      <w:r>
        <w:t>On peut se demander si c'est à bon droit que l'ODM a statué sur le renvoi de l'intéressée, dès lors que cet office a déjà rendu, à l'encontre de A._______, le 2 novembre 2007, une décision d'extension à tout le territoire de la Confédération d'une décision cantonale de renvoi, qui est entrée en force (cf. à propos du renvoi, l'art. 64 al. 1 let. c LEtr, entré en vigueur le 1er janvier 2011 [cf. RO 2010 5925 et Message du 18 novembre 2009 sur l'approbation et la mise en oeuvre de l'échange de notes entre la Suisse et la CE concernant la reprise de la directive CE sur le retour [directive 2008/115/CE] in: FF 2009 8043], qui reprend les motifs de renvoi définis à l'ancien art. 66 al. 1 LEtr [cf. RO 2007 5437]). Cette question peut toutefois demeurer indécise dans la mesure où l'intéressée ne démontre pas l'existence d'obstacles à son retour au Kosovo et le dossier ne fait pas non plus apparaître que l'exécution de son renvoi serait illicite, inexigible ou impossible au sens de l'art. 83 al. 2 à 4 LEtr (cf. également la décision incidente du 19 décembre 2007, let. J.b supra), ce d'autant moins que A._______ est déjà retournée dans son pays d'origine le 28 novembre 2009, suite à la non-restitution de l'effet suspensif au recours du 24 avril 2009.</w:t>
      </w:r>
    </w:p>
    <w:p>
      <w:r>
        <w:rPr>
          <w:b/>
        </w:rPr>
        <w:t>E. 9</w:t>
      </w:r>
    </w:p>
    <w:p>
      <w:r>
        <w:t>En conclusion, la décision du 25 mars 2009 est conforme au droit. Le recours est en conséquence rejeté.</w:t>
      </w:r>
    </w:p>
    <w:p>
      <w:r>
        <w:rPr>
          <w:b/>
        </w:rPr>
        <w:t>E. 10</w:t>
      </w:r>
    </w:p>
    <w:p>
      <w:r>
        <w:t>Vu l'issue de la cause, il y a lieu de mettre les frais de procédure, d'un montant de Fr. 300.-, à la charge des recourants,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