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C-5594/2008 vom 29. Oktober 2009</w:t>
      </w:r>
    </w:p>
    <w:p>
      <w:r>
        <w:t>Bundesverwaltungsgericht, 2009-10-29, DE</w:t>
      </w:r>
    </w:p>
    <w:p>
      <w:r>
        <w:rPr>
          <w:b/>
        </w:rPr>
        <w:t xml:space="preserve">Quelle: </w:t>
      </w:r>
      <w:r>
        <w:t>https://mcp.opencaselaw.ch/entscheid/bvger_C-5594_2008</w:t>
      </w:r>
    </w:p>
    <w:p>
      <w:r>
        <w:t>FR: TAF C-5594/2008 du 29 octobre 2009</w:t>
      </w:r>
    </w:p>
    <w:p>
      <w:r>
        <w:t>IT: TAF C-5594/2008 del 29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Zwar zeigte die wirtschaftliche Situation Thailands in den letzten Jahren ein robustes Wachstum. Die internationale Finanzkrise hat seit dem letzten Quartal 2008 jedoch auch auf die Wirtschaft Thailands deutlich spürbare Auswirkungen. Hauptursache der Krise ist die Exportabhängigkeit der thailändischen Wirtschaft bzw. das Wegbrechen wichtiger Absatzmärkte (USA, Japan, EU, China). Überlagert wurde der Ende vergangenen Jahres einsetzende Abwärtstrend durch die politische Konfrontation zwischen der damaligen Regierung und regierungskritischen Demonstranten, die Ende November 2008 in der Besetzung der internationalen Flughäfen Bangkoks gipfelte und zu einem massiven Einbruch im Tourismus führte. Die Regierung Abhisit hat auf den wirtschaftlichen Rückgang zwar relativ rasch reagiert und bereits am 13. Januar 2009 die erste Staffel eines umfangreichen Konjunkturprogramms mit einem Volumen von umgerechnet rund 1,5 Mrd. Euro verabschiedet. Dennoch ist unübersehbar, dass der Abwärtstrend bis auf Weiteres anhalten wird. Angesichts der schwer einschätzbaren internationalen Risiken, insbesondere der Entwicklung der thailändischen Exportmärkte, bleiben die Prognosen für das Jahr 2009 vorsichtig und gehen von einem Wachstum des Bruttoinlandprodukts zwischen 0 und 2% aus. Eine Rezession wird nicht ausgeschlossen. Der Einbruch im Exportsektor dürfte 2009 zu einem Anstieg der Arbeitslosenquote - sie lag Ende 2008 nach offiziellen Angaben bei 1,4% - auf 3,4 bis 4% führen (Quelle: Länder- und Reiseinformationen auf der Webseite des deutschen Auswärtigen Amtes: www.auswaertiges-amt.de, Länder, Reisen und Sicherheit &gt; Thailand &gt; Wirtschaft, Stand: Mai 2009, besucht am 5. Oktober 2009). Entsprechend hoch ist der Anteil vor allem jüngerer Menschen, die versuchen ins Ausland zu gelangen, um dort unter günstigeren Bedingungen eine wirtschaftliche Existenz aufbauen zu können. Der Entschluss zur Emigration kann erfahrungsgemäss dort noch gefördert werden, wo sich bereits Verwandte oder Freunde im Ausland aufhalten und entsprechend ein soziales Beziehungsnetz besteht. Im Falle der Schweiz führt dies angesichts der restriktiven Zulassungsregelung nicht selten zur Umgehung ausländerrechtlicher Bestimmungen. Dabei wird oftmals versucht, den Aufenthalt zu verlängern oder - beispielsweise durch Ausbildung oder Heirat - auf eine andere migrationsrechtliche Grundlage zu stellen.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28-jährige, unverheiratete Frau und Mutter einer inzwischen 7-jährigen Tochter. Sie lebt offenbar mit weiteren Angehörigen zusammen in häuslicher Gemeinschaft. Als alleinstehende Mutter eines Kindes, das sich unter ihrer Obhut befindet, dürfte die Gesuchstellerin zwar durchaus familiäre Verpflichtungen im Heimatland haben. Daraus kann aber für sich allein nicht schon auf eine besondere Gewähr für eine Rückkehr dorthin nach einem Besuchsaufenthalt in der Schweiz geschlossen werden. Denn immerhin beabsichtigt die Gesuchstellerin, sich ohne zwingenden Grund gleich für drei Monate ins Ausland zu begeben und das Kind während dieser langen Zeit Dritten zur Betreuung zu überlassen. Diesen Umstand hat die Vorinstanz in ihrer Vernehmlassung noch besonders hervorgehoben. Dennoch verzichtete der Beschwerdeführer, darauf in Form einer Replik einzugehen. Die Erfahrung zeigt ganz allgemein, dass die Existenz eigener unmündiger Kinder nicht verlässlich von einer Emigration abhalten kann. Wesentliche Bedeutung kann in solchen Situationen den wirtschaftlichen Verhältnissen zukommen, in denen sich die Betroffenen befinden. Denn die Absicht einer Emigration ist häufig gerade mit der Hoffnung verbunden, zurückbleibende Familienangehörige aus dem Ausland besser unterstützen und gegebenenfalls später nachziehen zu können.</w:t>
      </w:r>
    </w:p>
    <w:p>
      <w:r>
        <w:rPr>
          <w:b/>
        </w:rPr>
        <w:t>E. 8.2</w:t>
      </w:r>
    </w:p>
    <w:p>
      <w:r>
        <w:t>Über die wirtschaftlichen Verhältnisse, in denen sich die Gesuchstellerin befindet, ist nichts Konkretes aktenkundig. Sie wohnt offenbar in der an der Grenze zu Kambodscha liegenden Provinz Sa Kaeo auf einem familieneigenen Farmbetrieb und hilft dort beim Anbau von Wassermelonen und Reis sowie bei der Zucht von Eukalyptusbäumen. Über Grösse und Ertrag des Betriebs ist nichts bekannt. Aus Äusserungen des Beschwerdeführers gegenüber der Schweizerischen Botschaft in Bangkok (Einladungsschreiben vom 26. Mai 2008) muss immerhin geschlossen werden, dass die Familie der Gesuchstellerin nicht in besonders vorteilhaften wirtschaftlichen Verhältnissen lebt. Denn er stellte eine "gelegentliche" Unterstützung in der Grössenordnung von 300 Franken in Aussicht, damit die Gesuchstellerin und ihre Familie "mehr Geld zum Leben" habe. In Anbetracht des geplanten mehrmonatigen Auslandaufenthalts ist zudem fraglich, ob die Mithilfe der Gesuchstellerin auf dem Landwirtschaftsbetrieb überhaupt notwendig ist.</w:t>
      </w:r>
    </w:p>
    <w:p>
      <w:r>
        <w:rPr>
          <w:b/>
        </w:rPr>
        <w:t>E. 8.3</w:t>
      </w:r>
    </w:p>
    <w:p>
      <w:r>
        <w:t>Die Vorinstanz durfte vor dem allgemeinen und persönlichen Hintergrund demnach davon ausgehen, dass keine hinreichende Gewähr für eine fristgerechte und anstandslose Wiederausreise der Gesuchstellerin nach einem Besuchsaufenthalt besteht.</w:t>
      </w:r>
    </w:p>
    <w:p>
      <w:r>
        <w:rPr>
          <w:b/>
        </w:rPr>
        <w:t>E. 8.3.1</w:t>
      </w:r>
    </w:p>
    <w:p>
      <w:r>
        <w:t>An dieser Beurteilung vermögen die Zusicherungen des Beschwerdeführers nichts zu ändern. Diese sind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(anstelle vieler vgl. Urteil des Bundesverwaltungsgerichts C-204/2008 vom 5. März 2009 E. 8.4).</w:t>
      </w:r>
    </w:p>
    <w:p>
      <w:r>
        <w:rPr>
          <w:b/>
        </w:rPr>
        <w:t>E. 8.3.2</w:t>
      </w:r>
    </w:p>
    <w:p>
      <w:r>
        <w:t>Vorliegend tritt hinzu, dass der Beschwerdeführer die Gesuchstellerin erst seit April 2008 und damit noch nicht besonders lange kennt. Unter diesen Umständen wird selbst er gewisse Vorbehalte anbringen müssen, wenn es darum geht, mögliche Wünsche und Vorstellungen der Gesuchstellerin über ihre kurz- und mittelfristige Lebensgestaltung einschätzen zu können.</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