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C-5591/2009 vom 23. November 2010</w:t>
      </w:r>
    </w:p>
    <w:p>
      <w:r>
        <w:t>Bundesverwaltungsgericht, 2010-11-23, DE</w:t>
      </w:r>
    </w:p>
    <w:p>
      <w:r>
        <w:rPr>
          <w:b/>
        </w:rPr>
        <w:t xml:space="preserve">Quelle: </w:t>
      </w:r>
      <w:r>
        <w:t>https://mcp.opencaselaw.ch/entscheid/bvger_C-5591_2009</w:t>
      </w:r>
    </w:p>
    <w:p>
      <w:r>
        <w:t>FR: TAF C-5591/2009 du 23 novembre 2010</w:t>
      </w:r>
    </w:p>
    <w:p>
      <w:r>
        <w:t>IT: TAF C-5591/2009 del 23 novembre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2.1</w:t>
      </w:r>
    </w:p>
    <w:p>
      <w:r>
        <w:t>Der Beschwerdeführer ist schweizerisch-slowenischer Doppelbürger mit Wohnsitz in Slowenien, einem Mitgliedstaat der Europäischen Union,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6. August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6. August 2009 verfasst wurden, auch die im vorliegenden Verfahren eingereichten medizinischen Unterlagen neueren Datums, da diese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w:t>
      </w:r>
    </w:p>
    <w:p>
      <w:r>
        <w:rPr>
          <w:b/>
        </w:rPr>
        <w:t>E. 4</w:t>
      </w:r>
    </w:p>
    <w:p>
      <w:r>
        <w:t>Aufgrund der soeben dargelegten Grundsätze ist im vorliegenden Verfahren zu prüfen, ob sich der Gesundheitszustand und die Arbeitsfähigkeit des Beschwerdeführers seit der rentenzusprechenden Verfügung vom 28. März 2007 bzw. 4. Mai 2007 - Zeitpunkt der letzten auf umfassender Abklärung beruhenden Verfügung - bis zum 6. August 2009 - Zeitpunkt der angefochtenen Verfügung - massgeblich verändert haben.</w:t>
      </w:r>
    </w:p>
    <w:p>
      <w:r>
        <w:rPr>
          <w:b/>
        </w:rPr>
        <w:t>E. 4.1</w:t>
      </w:r>
    </w:p>
    <w:p>
      <w:r>
        <w:t>Mit rechtskräftigen Verfügungen vom 28. März 2007 und 4. Mai 2007 sprach die IV-Stelle Aargau dem Beschwerdeführer vom 1. August 2006 bis zum 31. August 2006 eine Viertelsrente, vom 1. September 2006 bis zum 31. Oktober 2006 eine halbe Rente und ab dem 1. November 2006 eine ganze Invalidenrente inklusive Kinderrente zu, da seit dem 25. Mai 2006 eine vollständige Erwerbsunfähigkeit bestehe (act. 58, 59, 61 und 65). Die IV-Stelle stützte sich dabei auf die medizinische Beurteilung von Dr. med. D._______ des RAD vom 1. November 2006. Dieser kam gestützt auf die ihm vorliegenden medizinischen Unterlagen zum Schluss, dass der Beschwerdeführer aufgrund der diagnostizierten Schulter- und Kniebeschwerden sowie Allergie gegen Epoxidharze und Kühlschmiermittel von August 2003 bis Mai 2006 in seiner bisherigen Tätigkeit als CNC-Maschinist nicht mehr arbeitsfähig sei, während er angepasste Tätigkeiten noch vollschichtig verrichten könne. Seit der Diagnose des Sigmakarzinoms im Mai 2006 bestehe die Arbeitsunfähigkeit von 100% auch in Verweisungstätigkeiten. Während der Dauer der Chemotherapie sei ebenfalls von einer Arbeitsunfähigkeit von 100% auszugehen. Die Prognose sei bei dem fortgeschrittenen Tumorstadium unklar. Je nach Verträglichkeit der Chemotherapie und den danach erhobenen Befunden könne frühestens ab Februar/März 2007 von einer (teilweisen) Arbeitsfähigkeit ausgegangen werden (act. 50). Die Beurteilung von Dr. med. D._______ erfolgte im Wesentlichen gestützt auf die Berichte von Dr. med. B._______ vom 3. März 2005 (act. 22), 22. Mai 2006 (act. 41) und 20. Juli 2006 (act. 46 und 47) sowie auf das Arbeitsunfähigkeitszeugnis von Dr. med. C._______ vom 11. Juli 2006 (act. 44).</w:t>
      </w:r>
    </w:p>
    <w:p>
      <w:r>
        <w:rPr>
          <w:b/>
        </w:rPr>
        <w:t>E. 4.2</w:t>
      </w:r>
    </w:p>
    <w:p>
      <w:r>
        <w:t>In seinem Bericht vom 20. September 2008 führte Dr. med. C._______ aus, dass während der Chemotherapie die üblichen Nebenwirkungen, insbesondere eine verminderte Leistungsfähigkeit, die für Eloxatin typische Kälteempfindlichkeit sowie Parästhesien an den Fingern (Neurotoxizität), aufgetreten seien. Von diesen Nebenwirkungen habe sich der Beschwerdeführer in den Monaten nach Therapieende wieder langsam erholt. Am 29. März 2007 sei noch eine Sanierung einer Bauchwandhernie durchgeführt worden. Bis zur letzten Kontrolle vom 6. März 2008 seien keine Hinweise auf ein Rezidiv aufgetreten (act. 95). Die angefochtene Verfügung der IVSTA vom 6. August 2009 stützt sich auf die Stellungnahmen von Dr. med. F._______ des IV-ärztlichen Dienstes vom 22. Februar 2009 und 19. Juli 2009. Dieser kam gestützt auf den Bericht vom Dr. med. C._______ vom 20. September 2008 zum Schluss, dass die Nebenwirkungen der Chemotherapie abgeklungen seien. Die Sonographien des Abdomens hätten keine Hinweise auf ein Tumorrezidiv gezeigt und die Colonoskopie im März 2008 habe nebst einem banalen Adenom keine anderweitige Pathologie ergeben. Somit sei die subjektive Angabe von gehäuften täglichen Stuhlgängen nicht nachvollziehbar, zumal dem Versicherten nur ein kurzes Stück des Dickdarms entfernt werden musste, was keine Durchfälle zu begründen vermöge. Aufgrund des diagnostizierten Status nach berufsbedingtem Kontaktekzem der Hände sei die angestammte Arbeit seit August 2003 nicht mehr zumutbar. Die leichte Gonarthrose links und die üblichen altersentsprechenden degenerativen Veränderungen der Wirbelsäule schlössen eine angepasste Arbeit hingegen nicht aus. Aufgrund des gebesserten Gesundheitszustandes nach Abheilung des Colonkarzinoms könne der Beschwerdeführer eine Verweisungstätigkeit seit dem 20. September 2008 (Datum der Beurteilung durch Dr. med. C._______) wieder zu 100% ausüben (act. 103 und 114). In seiner Stellungnahme vom 3. September 2010 führte Dr. med. F._______ des IV-ärztlichen Dienstes nach Einsicht in die während des vorliegenden Beschwerdeverfahrens neu eingereichten medizinischen Unterlagen zudem aus, dass die angebliche Durchfallproblematik nicht dokumentiert sei. Vielmehr neige der Beschwerdeführer aktuell zu Obstipation (Verstopfung) und habe daher ein entsprechendes medizinisches Rezept erhalten. Gemäss der Colonoskopie sei der ganze Dickdarm intakt und zeige keinerlei Entzündungszeichen oder andere Befunde, welche die angebliche Durchfallproblematik erklären würden. Ein relevantes Ekzemleiden der Hände sei nicht dokumentiert.</w:t>
      </w:r>
    </w:p>
    <w:p>
      <w:r>
        <w:rPr>
          <w:b/>
        </w:rPr>
        <w:t>E. 4.3</w:t>
      </w:r>
    </w:p>
    <w:p>
      <w:r>
        <w:t>Die Stellungnahmen von Dr. med. F._______ erfolgten in Würdigung aller vorliegenden medizinischen Unterlagen und stützen sich insbesondere auf die Berichte des behandelnden Onkologen Dr. med. C._______ vom 27. Mai 2008 und 20. September 2008.</w:t>
      </w:r>
    </w:p>
    <w:p>
      <w:r>
        <w:rPr>
          <w:b/>
        </w:rPr>
        <w:t>E. 4.4</w:t>
      </w:r>
    </w:p>
    <w:p>
      <w:r>
        <w:t>Die beurteilenden Ärzte begründen die Verbesserung des Gesundheitszustandes des Beschwerdeführer nachvollziehbar mit den bis dato fehlenden Hinweisen auf ein Rezidiv bei Status nach Resektion des Sigmakarzinoms am 26. Mai 2006. Im Zeitpunkt der Beurteilung durch Dr. med. D._______ vom 1. November 2006 - auf welche sich die rentenzusprechenden Verfügungen vom 28. März 2007 bzw. 4. Mai 2007 stützten - unterzog sich der Beschwerdeführer einer Chemotherapie. Sowohl die behandelnden Ärzte als auch Dr. med. D._______ attestierten dem Beschwerdeführer für die Dauer der Chemotherapie übereinstimmend eine Arbeitsunfähigkeit von 100% für sämtliche Tätigkeiten. Deren Wirkung bzw. deren Erfolg bleibe abzuwarten (act. 44, 46 und 50). Die Chemotherapie dauerte bis zum 5. Januar 2007. Von deren Nebenwirkungen hat sich der Beschwerdeführer zwischenzeitlich unbestrittenermassen erholt. Zudem fehlen bis dato Hinweise auf ein Rezidiv (vgl. insbesondere act. 95). Dies spricht klar für eine Verbesserung des Gesundheitszustandes des Beschwerdeführers im Sinne der Beurteilung von Dr. med. F._______.</w:t>
      </w:r>
    </w:p>
    <w:p>
      <w:r>
        <w:rPr>
          <w:b/>
        </w:rPr>
        <w:t>E. 4.5</w:t>
      </w:r>
    </w:p>
    <w:p>
      <w:r>
        <w:t>Der Beschwerdeführer macht geltend, dass sich sein Gesundheitszustand in letzter Zeit verschlechtert habe. Diesbezüglich reichte er den Bericht von Dr. med. G._______, Facharzt für Allgemeinmedizin, vom 18. Mai 2009 zu den Akten, welcher ihm im Wesentlichen Verdauungsprobleme, Hämorrhoiden, degenerative Veränderungen im Bereich der Wirbelsäule und in beiden Kniegelenken, eine vergrösserte Prostata, eine Überempfindlichkeit gegen chemische Mittel und Schmiermittel, eine psychische Labilität sowie eine Arbeitsunfähigkeit attestierte (act. 109).</w:t>
      </w:r>
    </w:p>
    <w:p>
      <w:r>
        <w:rPr>
          <w:b/>
        </w:rPr>
        <w:t>E. 4.6</w:t>
      </w:r>
    </w:p>
    <w:p>
      <w:r>
        <w:t>Für die Beurteilung des aktuellen Gesundheitszustandes aus rheumatologischer Sicht liegen insbesondere die folgenden medizinischen Unterlagen vor: Bericht betreffend Distorsion des linken Knies vom 6. Mai 2008 (act. 101), Bericht betreffend Kniebeschwerden vom 16. Mai 2008 (act. 110), Radiographie der lumbosacralen Wirbelsäulenabschnitte vom 9. Dezember 2008 (act. 100) und Knochenszintigrafie vom 23. Januar 2009 (act. 111). In seiner Beurteilung kam Dr. med. F._______ zum Schluss, dass die leichte Gonarthrose links und die üblichen altersentsprechenden degenerativen Veränderungen der Wirbelsäule eine angepassten Tätigkeit keineswegs ausschlössen (act. 103 und 114). Diese Beurteilung erfolgte in Würdigung aller vorliegenden medizinischen Unterlagen und leuchtet in der Beurteilung der medizinischen Diagnosen und deren Auswirkungen auf die Erwerbsfähigkeit ein. Hinzu kommt, dass aus den zuvor erwähnten medizinischen Unterlagen neueren Datums auch keine gegenteilige Beurteilung der Restarbeitsfähigkeit ersichtlich ist.</w:t>
      </w:r>
    </w:p>
    <w:p>
      <w:r>
        <w:rPr>
          <w:b/>
        </w:rPr>
        <w:t>E. 4.7</w:t>
      </w:r>
    </w:p>
    <w:p>
      <w:r>
        <w:t>Hinsichtlich der von Dr. med. G._______ in seinem Bericht vom 18. Mai 2009 diagnostizierten vergrösserten Prostata sowie der attestieren "psychischen Labilität" gilt anzumerken, dass diesbezüglich nicht nachvollziehbar begründet wurde, inwiefern diese Diagnosen Auswirkungen auf die Arbeitsfähigkeit des Beschwerdeführers haben sollen, zumal der behandelnde Urologe einzig eine Kontrolluntersuchung nach einem Jahr empfohlen hat (vgl. act. 112) und aus den vorliegenden medizinischen Unterlagen auch keine weiteren Berichte ersichtlich sind, die ein psychisches Leiden und/oder eine entsprechende Therapie des Beschwerdeführers bestätigten.</w:t>
      </w:r>
    </w:p>
    <w:p>
      <w:r>
        <w:rPr>
          <w:b/>
        </w:rPr>
        <w:t>E. 4.8</w:t>
      </w:r>
    </w:p>
    <w:p>
      <w:r>
        <w:t>Auch die im vorliegenden Beschwerdeverfahren eingereichten medizinischen Unterlagen neueren Datums (Befundbericht von Dr. med. I._______ vom 29. Juni 2010, Bericht von Dr. med. J._______ vom 29. Juni 2010 betreffend CT Thorax / Abdomen, Bericht von Dr. med. E._______ vom 2. Juli 2010 sowie Bericht von Dr. med. B._______ vom 28. Juli 2010) sind nicht geeignet, die Beurteilung von Dr. med. F._______ in Frage zu stellen. Dr. med. B._______ machte zwar geltend, dass der Beschwerdeführer aufgrund der persistierenden Durchfälle (zehn Mal pro Tag) völlig "arbeits- und gesellschaftsunfähig" sei. Dabei verkennt Dr. med. B._______ jedoch, dass der Beschwerdeführer gemäss Bericht betreffend Ileo-Colonoskopie aktuell nicht an Durchfall, sondern an einer tendenziellen Obstipation (Verstopfung) leidet (vgl. Bericht von Dr. med. E._______ vom 2. Juli 2010). Diesbezüglich wurde von Dr. med. F._______ denn auch glaubhaft dargestellt, dass für die vom Beschwerdeführer subjektiv geäusserte Durchfallproblematik keine objektiven Elemente vorliegen.</w:t>
      </w:r>
    </w:p>
    <w:p>
      <w:r>
        <w:rPr>
          <w:b/>
        </w:rPr>
        <w:t>E. 4.9</w:t>
      </w:r>
    </w:p>
    <w:p>
      <w:r>
        <w:t>Daran vermag auch der nicht nachvollziehbare Hinweis von Dr. med. F._______, ein relevantes Ekzemleiden der Hände sei nicht dokumentiert (vgl. Stellungnahme vom 3. September 2010 und act. 103), nichts zu ändern, zumal dieses Leiden unbestrittenermassen keine Arbeitsunfähigkeit in einer Verweisungstätigkeit zu begründen vermag (vgl. act. 22, 50 und 109).</w:t>
      </w:r>
    </w:p>
    <w:p>
      <w:r>
        <w:rPr>
          <w:b/>
        </w:rPr>
        <w:t>E. 4.10</w:t>
      </w:r>
    </w:p>
    <w:p>
      <w:r>
        <w:t>Zusammenfassend ist folglich festzuhalten, dass keine Gründe ersichtlich sind, von der Beurteilung von Dr. med. F._______ abzuweichen. Aufgrund der vorliegenden Arztberichte, welche ein komplettes Bild über die gesundheitlichen Leiden des Beschwerdeführers geben und eine zuverlässige Beurteilung dessen Erwerbsfähigkeit gestatten, kann mit überwiegender Wahrscheinlichkeit davon ausgegangen werden, dass sich der Gesundheitszustand des Beschwerdeführers im Beurteilungszeitraum insofern verbessert hat, als dieser seit dem 20. September 2008 Verweisungstätigkeiten wieder zu 100% ausüben kann, während er in der bisherigen Tätigkeit nach wie vor zu 100% arbeitsunfähig ist. Die IVSTA hat somit zu Recht eine Verbesserung des Gesundheitszustandes mit Auswirkung auf die Arbeitsfähigkeit seit der letzten rechtskräftigen Verfügung bejaht. Unter diesen Umständen ist auf die vom Beschwerdeführer in Aussicht gestellte weitere medizinische Abklärung in antizipierter Beweiswürdigung zu verzichten (vgl. BGE 122 II 469 E. 4a, BGE 120 1b 229 E. 2b, BGE 119 V 344 E. 3c mit Hinweisen).</w:t>
      </w:r>
    </w:p>
    <w:p>
      <w:r>
        <w:rPr>
          <w:b/>
        </w:rPr>
        <w:t>E. 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von der IVSTA vorgenommene Einkommensvergleich (act. 104) wird vom Beschwerdeführer nicht beanstandet. Verglichen wurde dabei das zumutbare Einkommen ohne Invalidität von Fr. 6'197.51 (dabei wurde auf dessen zuletzt erzieltes Einkommen [inkl. Quartalsbonus, Schicht- und Nachtzulage; vgl. act. 17 und 83] abgestellt, welches auf das Jahr 2006 indexiert wurde) und das zumutbare Erwerbseinkommen mit Invalidität von Fr. 3'946.49, ausgehend vom Durchschnitt der gemäss LSE 2006 in Frage stehenden Tabellenlöhne (vgl. LSE 2006, TA1, Anforderungsniveau 4, Männer, Zentralwert von Fr. 4'732.-, angepasst an die durchschnittliche Wochenarbeitszeit von 41.7 Stunden) und einem leidensbedingten Abzug von 20%. Dabei resultiert ein Invaliditätsgrad von (abgerundet) 36%. Das Bundesverwaltungsgericht sieht keine Anhaltspunkte, dass der Einkommensvergleich nicht bundesrechtskonform erstellt worden sein könnte. Der Vollständigkeit halber bleibt anzumerken, dass selbst eine Indexierung auf das Jahr 2009 nichts am Resultat des vorliegenden Urteils ändern würde.</w:t>
      </w:r>
    </w:p>
    <w:p>
      <w:r>
        <w:rPr>
          <w:b/>
        </w:rPr>
        <w:t>E. 5.2</w:t>
      </w:r>
    </w:p>
    <w:p>
      <w:r>
        <w:t>Es besteht somit kein Anspruch auf Invalidenrente. Die IVSTA hat die bisher gewährte ganze Invalidenrente folglich zu Recht per 1. Oktober 2009 (Art. 88a Abs. 1 IVV i.V.m. Art. 88bis Abs. 2 Bst. a IVV; vgl. E. 3.6 hiervor) aufgehoben. Die Beschwerde ist daher abzuweisen.</w:t>
      </w:r>
    </w:p>
    <w:p>
      <w:r>
        <w:rPr>
          <w:b/>
        </w:rPr>
        <w:t>E. 6</w:t>
      </w:r>
    </w:p>
    <w:p>
      <w:r>
        <w:t>Zu befinden bleibt noch über die Verfahrenskosten und eine allfällige Parteientschädigung.</w:t>
      </w:r>
    </w:p>
    <w:p>
      <w:r>
        <w:rPr>
          <w:b/>
        </w:rPr>
        <w:t>E. 6.1</w:t>
      </w:r>
    </w:p>
    <w:p>
      <w:r>
        <w:t>Die Verfahrenskosten sind dem unterliegenden Beschwerdeführer aufzuerlegen (Art. 63 Abs. 1 VwVG) und mit dem geleisteten Kostenvorschuss von Fr. 400.- zu verrechnen.</w:t>
      </w:r>
    </w:p>
    <w:p>
      <w:r>
        <w:rPr>
          <w:b/>
        </w:rPr>
        <w:t>E. 6.2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