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C-5578/2013 vom 8. Januar 2015</w:t>
      </w:r>
    </w:p>
    <w:p>
      <w:r>
        <w:t>Bundesverwaltungsgericht, 2015-01-08, DE</w:t>
      </w:r>
    </w:p>
    <w:p>
      <w:r>
        <w:rPr>
          <w:b/>
        </w:rPr>
        <w:t xml:space="preserve">Quelle: </w:t>
      </w:r>
      <w:r>
        <w:t>https://mcp.opencaselaw.ch/entscheid/bvger_C-5578_2013</w:t>
      </w:r>
    </w:p>
    <w:p>
      <w:r>
        <w:t>FR: TAF C-5578/2013 du 8 janvier 2015</w:t>
      </w:r>
    </w:p>
    <w:p>
      <w:r>
        <w:t>IT: TAF C-5578/2013 del 8 gennaio 2015</w:t>
      </w:r>
    </w:p>
    <w:p>
      <w:pPr>
        <w:pStyle w:val="Heading2"/>
      </w:pPr>
      <w:r>
        <w:t>Regeste</w:t>
      </w:r>
    </w:p>
    <w:p>
      <w:r>
        <w:t>Einreiseverbot</w:t>
      </w:r>
    </w:p>
    <w:p>
      <w:pPr>
        <w:pStyle w:val="Heading2"/>
      </w:pPr>
      <w:r>
        <w:t>Erwägungen</w:t>
      </w:r>
    </w:p>
    <w:p>
      <w:r>
        <w:rPr>
          <w:b/>
        </w:rPr>
        <w:t>E. 1.1</w:t>
      </w:r>
    </w:p>
    <w:p>
      <w:r>
        <w:t>Verfügungen des BFM, mit denen ein Einreiseverbot im Sinne von Art. 67 des Bundesgesetzes vom 16. Dezember 2005 über die Ausländerinnen und Ausländer (AuG, SR 142.20) verhängt wird, unterliegen der Beschwerde an das Bundesverwaltungsgericht (Art. 112 Abs. 1 AuG i.V.m. Art. 31 ff. VGG).</w:t>
      </w:r>
    </w:p>
    <w:p>
      <w:r>
        <w:rPr>
          <w:b/>
        </w:rPr>
        <w:t>E. 1.2</w:t>
      </w:r>
    </w:p>
    <w:p>
      <w:r>
        <w:t>Das Rechtsmittelverfahren vor dem Bundesverwaltungsgericht richtet sich nach dem Verwaltungsverfahrensgesetz (VwVG),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 / Sutter / Widmer, in: Rainer J.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w:t>
      </w:r>
    </w:p>
    <w:p>
      <w:r>
        <w:rPr>
          <w:b/>
        </w:rPr>
        <w:t>E. 4.1</w:t>
      </w:r>
    </w:p>
    <w:p>
      <w:r>
        <w:t>Der Beschwerdeführer musste während der Dauer seines Aufenthaltes in der Schweiz in teilweise kurzen Abständen immer wieder zu Geldbussen, in einem Fall wegen Errichtens und Betreibens einer Abfallverwertungsanlage ohne entsprechende Bewilligung, wegen Diebstahls und diverser Delikte gegen die Strassenverkehrsgesetzgebung sogar zu einer dreimonatigen Freiheitsstrafe verurteilt werden (Strafverfügung des Amtsstatthalteramtes Hochdorf vom 20. Oktober 2006). Die mit Geldbussen geahndeten Delikte betrafen einfache und grobe Verletzungen von Verkehrsregeln, aber auch einen weiteren Fall von Diebstahl, Fälschung eines amtlichen Wertzeichens, Ungehorsam im Betreibungs- und Konkursverfahren, Missachtung der Buchführungspflicht sowie Vergehen und Übertretung gegen Bestimmungen der AHV-Gesetzgebung und Widerhandlungen gegen das Ausländergesetz.</w:t>
      </w:r>
    </w:p>
    <w:p>
      <w:r>
        <w:rPr>
          <w:b/>
        </w:rPr>
        <w:t>E. 4.2</w:t>
      </w:r>
    </w:p>
    <w:p>
      <w:r>
        <w:t>Ebenfalls über viele Jahre hinweg, an fünf verschiedenen Wohnorten und am Ort seines Geschäftssitzes trat der Beschwerdeführer in massiver Weise betreibungsrechtlich in Erscheinung (vgl. die Auflistung durch die Migrationsbehörde des Kantons Luzern in ihrer Verfügung vom 25. November 2011; Bst. F vorstehend).</w:t>
      </w:r>
    </w:p>
    <w:p>
      <w:r>
        <w:rPr>
          <w:b/>
        </w:rPr>
        <w:t>E. 4.3</w:t>
      </w:r>
    </w:p>
    <w:p>
      <w:r>
        <w:t>Mit der abgeurteilten Delinquenz des Beschwerdeführers hat sich der Fernhaltegrund einer Verletzung der öffentlichen Sicherheit und Ordnung gemäss Art. 67 Abs. 2 Bst. a AuG ohne weiteres verwirklicht. Das Gleiche gilt in Bezug auf die betreibungsrechtlichen Vorkommnisse festzustellen, ist durch dieses Fehlverhalten des Beschwerdeführers doch eine Vielzahl von Gläubigern zu Schaden gekommen. Der Beschwerdeführer hat damit - aber auch mit einer zeitweiligen wirtschaftlichen Sozialhilfeabhängigkeit (siehe dazu später) - Umstände geschaffen, die zur Verhängung einer Fernhaltemassnahme führen können.</w:t>
      </w:r>
    </w:p>
    <w:p>
      <w:r>
        <w:rPr>
          <w:b/>
        </w:rPr>
        <w:t>E. 5</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5.1</w:t>
      </w:r>
    </w:p>
    <w:p>
      <w:r>
        <w:t>Das öffentliche Interesse an einer Fernhaltung des Beschwerdeführers ist schon aus objektiver, präventiv-polizeilicher Sicht als gewichtig einzustufen. Ausländische Personen, die während Jahren immer wieder in verschiedensten Bereichen straffällig werden und die ihren finanziellen Verpflichtungen regelmässig und während langer Zeit nicht nachkommen, sind nach Möglichkeit von der Schweiz fernzuhalten. Es gilt durch eine kontinuierliche und konsequente Verwaltungspraxis zu verdeutlichen, dass wiederholte Delinquenz und systematische Schuldenwirtschaft zum Schutz der öffentlichen Sicherheit und Ordnung eine Fernhaltemassnahme zur Folge haben können.</w:t>
      </w:r>
    </w:p>
    <w:p>
      <w:r>
        <w:rPr>
          <w:b/>
        </w:rPr>
        <w:t>E. 5.2</w:t>
      </w:r>
    </w:p>
    <w:p>
      <w:r>
        <w:t>Auch in subjektiver Hinsicht wiegt das vom Beschwerdeführer begangene Fehlverhalten schwer und es ist von einer ernsthaften Gefahr für weitere Delikte und eine fortgesetzte Schuldenwirtschaft auszugehen. Der Beschwerdeführer ist mit grosser Regelmässigkeit seit dem Jahre 2001 strafrechtlich, seit dem Jahre 2005 betreibungsrechtlich in Erscheinung getreten. Gemäss den Feststellungen des kantonalen Verwaltungsgerichts in dessen Urteil vom 25. März 2013 musste ihm zudem zwischen Mai 2004 und Juli 2005 wirtschaftliche Sozialhilfe im Umfang von gut 14'000 Franken ausgerichtet werden. Er hat sich während all den Jahren weder durch erlittene Vorstrafen noch durch eine Verwarnung seitens der kantonalen Migrationsbehörde davon abhalten lassen, weitere Delikte zu begehen. Er war auch nicht Willens oder fähig, seine finanziellen Verhältnisse in geordnete Bahnen zu lenken. Aus dem Entscheid des kantonalen Justiz- und Sicherheitsdepartements vom 5. Oktober 2012 zu schliessen, erwirkte er selbst nach der am 25. November 2011 erstinstanzlich verfügten Nichterneuerung seiner Aufenthaltsbewilligung im Januar 2012 noch einen Strafbefehl und wurden gegen ihn zwischen Mitte Dezember 2011 und Mitte August 2012 weitere acht Betreibungen im Gesamtbetrag von rund 29'000 Franken eingeleitet und acht neue Verlustscheine ausgestellt. Auch diese Instanz hielt dem Beschwerdeführer vor, er habe mutwillig öffentlich-rechtliche und privatrechtliche Verpflichtungen nicht erfüllt sowie gesetzliche Vorschriften und behördliche Verfügungen missachtet. Ein Einsehen in die Problematik seines Fehlverhaltens scheint dem Beschwerdeführer - aus seinen Eingaben im Beschwerdeverfahren vor dem Bundesverwaltungsgericht zu schliessen - immer noch vollständig abzugehen.</w:t>
      </w:r>
    </w:p>
    <w:p>
      <w:r>
        <w:rPr>
          <w:b/>
        </w:rPr>
        <w:t>E. 5.3</w:t>
      </w:r>
    </w:p>
    <w:p>
      <w:r>
        <w:t>Dem solchermassen begründeten öffentlichen Interesse an einer Fernhaltung stellt der Beschwerdeführer sein persönliches Interesse daran gegenüber, mit seinen in der Schweiz lebenden Angehörigen (insbesondere den vier erwachsenen Söhnen und Töchtern sowie deren Nachkommen) möglichst uneingeschränkt Kontakt pflegen zu können. Davon, dass solche Kontakte in ausreichender Form nur durch Einreisen des Beschwerdeführers in die Schweiz realisiert werden könnten, ist nicht auszugehen. Doch selbst wenn ernsthafte Hindernisse vorhanden sein sollten, bestände die Möglichkeit, bei der Vorinstanz aus wichtigen Gründen die zeitweilige Sus­pension der Fernhaltemassnahme zu beantragen (Art. 67 Abs. 5 AuG). Entsprechend überwiegt das öffentliche Interesse an einer Fernhaltung des Beschwerdeführers dessen persönliches Interesse daran, weiterhin ohne besondere Restriktionen in die Schweiz einreisen zu können. Angesichts der langjährigen Delinquenz und Schuldenwirtschaft des Beschwerdeführers erscheint die Massnahme auch in Beachtung seiner familiären Interessen als in zeitlicher Hinsicht angemessen.</w:t>
      </w:r>
    </w:p>
    <w:p>
      <w:r>
        <w:rPr>
          <w:b/>
        </w:rPr>
        <w:t>E. 5.4</w:t>
      </w:r>
    </w:p>
    <w:p>
      <w:r>
        <w:t>Zusammenfassend ist festzustellen, dass das auf fünf Jahre befristete Einreiseverbot eine verhältnismässige und angemessene Massnahme zum Schutz der öffentlichen Sicherheit und Ordnung darstellt.</w:t>
      </w:r>
    </w:p>
    <w:p>
      <w:r>
        <w:rPr>
          <w:b/>
        </w:rPr>
        <w:t>E. 6.1</w:t>
      </w:r>
    </w:p>
    <w:p>
      <w:r>
        <w:t>Zu prüfen bleibt die Rechtmässigkeit der von der Vorinstanz angeordneten Ausschreibung des Einreiseverbots im SIS.</w:t>
      </w:r>
    </w:p>
    <w:p>
      <w:r>
        <w:rPr>
          <w:b/>
        </w:rPr>
        <w:t>E. 6.2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6.3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6.4</w:t>
      </w:r>
    </w:p>
    <w:p>
      <w:r>
        <w:t>Der Beschwerdeführer kann als Drittstaatsangehöriger grundsätzlich zur Einreise- bzw. Aufenthaltsverweigerung im SIS ausgeschrieben werden. Eine Mehrzahl der von ihm zu verantwortenden Straftaten (insbes. Diebstahl) erfüllt sodann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7</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8</w:t>
      </w:r>
    </w:p>
    <w:p>
      <w:r>
        <w:t>Entsprechend dem Ausgang des Verfahrens sind dem Beschwerdeführer die Kosten aufzuerlegen (Art. 63 Abs. 1 VwVG i.V.m. Art. 1, Art. 2 und Art. 3 Bst. b des Reglements vom 21. Februar 2008 über die Kosten und Entschädigungen vor dem Bundesverwaltungsgericht).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