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C-5568/2011 vom 29. April 2013</w:t>
      </w:r>
    </w:p>
    <w:p>
      <w:r>
        <w:t>Bundesverwaltungsgericht, 2013-04-29, DE</w:t>
      </w:r>
    </w:p>
    <w:p>
      <w:r>
        <w:rPr>
          <w:b/>
        </w:rPr>
        <w:t xml:space="preserve">Quelle: </w:t>
      </w:r>
      <w:r>
        <w:t>https://mcp.opencaselaw.ch/entscheid/bvger_C-5568_2011</w:t>
      </w:r>
    </w:p>
    <w:p>
      <w:r>
        <w:t>FR: TAF C-5568/2011 du 29 avril 2013</w:t>
      </w:r>
    </w:p>
    <w:p>
      <w:r>
        <w:t>IT: TAF C-5568/2011 del 29 aprile 2013</w:t>
      </w:r>
    </w:p>
    <w:p>
      <w:pPr>
        <w:pStyle w:val="Heading2"/>
      </w:pPr>
      <w:r>
        <w:t>Regeste</w:t>
      </w:r>
    </w:p>
    <w:p>
      <w:r>
        <w:t>Rente</w:t>
      </w:r>
    </w:p>
    <w:p>
      <w:pPr>
        <w:pStyle w:val="Heading2"/>
      </w:pPr>
      <w:r>
        <w:t>Erwägungen</w:t>
      </w:r>
    </w:p>
    <w:p>
      <w:r>
        <w:rPr>
          <w:b/>
        </w:rPr>
        <w:t>E. 3</w:t>
      </w:r>
    </w:p>
    <w:p>
      <w:r>
        <w:t>Vorliegend ist strittig und vom Bundesverwaltungsgericht zu prüfen, ob die SAK den Anspruch der Beschwerdeführerin auf eine Hinterlassenenrente zu Recht verneint hat. 3.1.1 Anspruch auf Alters- und Hinterlassenenrenten haben Schweizer Bürger, Ausländer und Staatenlose gemäss den nachfolgenden Bestimmungen (Art. 18 Abs. 1 AHVG). Ausländer sowie ihre Hinterlassenen ohne Schweizer Bürgerrecht sind nur rentenberechtigt, solange sie ihren Wohnsitz und gewöhnlichen Aufenthalt (Art. 13 ATSG) in der Schweiz haben. Dieses Erfordernis ist von jeder Person, für die eine Rente ausgerichtet wird, einzeln zu erfüllen. Vorbehalten bleiben die besonderen bundesrechtlichen Vorschriften über die Rechtsstellung der Flüchtlinge und der Staatenlosen sowie abweichende zwischenstaatliche Vereinbarungen, insbesondere mit Staaten, deren Gesetzgebung den Schweizer Bürgern und ihren Hinterlassenen Vorteile bietet, die denjenigen dieses Gesetzes ungefähr gleichwertig sind (Art. 18 Abs. 2 AHVG), was für die Türkei zutrifft. 3.1.2 Anspruch auf eine Witwen- oder Witwerrente haben Witwen oder Witwer, sofern sie im Zeitpunkt der Verwitwung Kinder haben (Art. 23 Abs. 1 AHVG). Der Anspruch auf die Witwen- oder Witwerrente entsteht am ersten Tag des dem Tod des Ehemannes oder der Ehefrau folgenden Monats (Art. 23 Abs. 3 AHVG). 3.1.3 Gemäss Art. 24a Abs. 1 AHVG ist eine geschiedene Person einer verwitweten gleichgestellt, wenn sie eines oder mehrere Kinder hat und die geschiedene Ehe mindestens zehn Jahre gedauert hat (lit. a), die geschiedene Ehe mindestens zehn Jahre gedauert hat und die Scheidung nach Vollendung des 45. Altersjahres erfolgte (lit. b) oder wenn das jüngste Kind sein 18. Altersjahr vollendet hat, nachdem die geschiedene Person ihr 45. Altersjahr zurückgelegt hat (lit. c).</w:t>
      </w:r>
    </w:p>
    <w:p>
      <w:r>
        <w:rPr>
          <w:b/>
        </w:rPr>
        <w:t>E. 3.2</w:t>
      </w:r>
    </w:p>
    <w:p>
      <w:r>
        <w:t>Es ist unbestritten und zutreffend, dass die Beschwerdeführerin die Voraussetzungen der vorstehenden Bestimmungen erfüllt und somit Anspruch auf eine Witwenrente hat, sofern auf dem individuellen Konto des verstorbenen Ehemannes entsprechende Beitragszeiten nachgewiesen werden können. Falls der Beweis dafür erbracht werden kann, dass es sich bei B._______ um A._______ handelt, können die Beitragszeiten des B._______ dem A._______ zugerechnet werden. 4.1 Für jeden beitragspflichtigen Versicherten werden individuelle Kon­ten geführt, in welche die für die Berechnung der ordentlichen Ren­ten erforderlichen Angaben eingetragen werden. Der Bundesrat re­gelt die Einzelheiten (Art. 30ter Abs. 1 AHVG). 4.2 Der Versicherte hat das Recht, bei jeder Ausgleichskasse, die für ihn ein individuelles Konto führt, einen Auszug über die darin gemach­ten Eintragungen unter Angabe allfälliger Arbeitgeber zu verlangen (Art. 141 Abs. 1 der Verordnung vom 31. Oktober 1947 über die Alters- und Hinterlassenenversicherung [AHVV, SR 831.101]). Wird kein Kon­tenauszug oder keine Be­richtigung verlangt, oder wird das Berich­tigungsbegehren abgelehnt, so kann bei Eintritt des Versicherungsfal­les die Berichtigung von Ein­tragungen im individuellen Konto nur ver­langt werden, soweit deren Un­richtigkeit offenkundig ist oder dafür der volle Beweis erbracht wird (Art. 141 Abs. 3 AHVV). Art. 141 Abs. 3 AHVV führt eine Beweisverschärfung gegenüber dem im Sozialversicherungsrecht üblichen Beweisgrad der überwiegenden Wahrscheinlichkeit ein, indem der volle Beweis verlangt wird. Aller­dings soll dies nicht heissen, dass die Untersuchungsmaxime nicht gilt und der Versicherte selbst diesen Beweis zu erbringen hat. Vielmehr soll dies heissen, dass der Versicherte insofern erhöhte Mitwirkungs­pflichten hat, als dass er alles ihm Zumutbare unternehmen muss, um die Verwaltung oder den Richter bei der Beschaffung des Beweismate­rials zu unterstützen (vgl. BGE 117 V 261 E. 3b und 3d). 4.3 Gemäss allgemeiner Rechtsauffassung gilt eine Tatsache als bewiesen und der volle Be­weis als erbracht, wenn die Behörde von deren Vorhandensein der­art überzeugt ist, dass das Gegenteil als unwahrscheinlich erscheint (vgl. Alfred Kölz/Isabelle Häner, Verwaltungsverfahren und Verwal­tungs­rechts­pflege des Bundes, 2. Aufl., Zürich 1998, S. 105). Wie die­ser Beweis erbracht werden muss, ist nicht vorgeschrieben. 5.1 Die Beschwerdeführerin machte im Wesentlichen geltend, die bei den Akten liegenden Beweise sprächen dafür, dass A._______ als B._______ in der Schweiz gearbeitet habe. Namentlich bestätigte das Ehepaar C._______ auf Anfrage der SAK, dass es sich beim Mann auf dem Foto um B._______ handle. Ferner hätten auch frühere Mitarbeiter der D._______ AG zum Foto von A._______ gesagt, dass sie darauf B._______ erkennen würden. Weiter argumentierte die Beschwerdeführerin, dass die Personenidentität von A._______ und B._______ die einzige plausible Erklärung für den von B._______ zu Gunsten von A._______ bei der Bank mit Wirkung ab 24. Dezember 2004 eingerichtete Dauerauftrag von monatlich Fr. 2'000.-- sei (SAK-act. 80 S. 18). Schliesslich führte die Beschwerdeführerin aus, dass der Fahrausweis von B._______, welcher mit einem Foto von A._______ versehen sei, aus dem Jahr 1977 stamme und somit widerlegt sei, dass A._______ die Identität von B._______ erst nach dessen Tod im Jahr 1992 übernommen habe. Vielmehr sei dieser Ausweis ein Beweis dafür, dass sich A._______ spätestens seit 1977 als B._______ ausgegeben habe. 5.2 Die SAK führte aus, die Beweiskraft der Aussagen der Auskunfspersonen sei als eher schwach zu werten, da es sich bei den befragten Personen um ehemalige Arbeitskollegen, Freunde und Verwandte handle. Die SAK räumte zwar ein, dass die Indizien dafür sprächen, dass A._______ seit ungefähr 1997 die Identität von B._______ übernommen habe. Indes sei eine Vereinigung der individuellen Konten von A._______ und B._______ nur möglich, wenn A._______ tatsächlich unter dem Namen B._______ gearbeitet und AHV-Beiträge entrichtet habe. Die SAK wendete überdies ein, die Analyse von Fotos übersteige ihre Kompetenzen. 5.3 In Bezug auf den letzten Einwand der SAK ist festzuhalten, dass die SAK keineswegs Fotos zu analysieren, sondern lediglich die Aussagen der befragten Personen auszuwerten hatte. Das Amt für Justiz und Migration des Kantons Nidwalden äusserte sich in seinem Schreiben vom 27. Juli 2011 (SAK-act. 85) dahingehend, dass aus den Akten nicht hervorgehe, ob A._______ und B._______ dieselbe Person sei. Aus der Aussage von früheren Mitarbeitern der D._______ AG, dass die Person auf dem Foto B._______ sei (vgl. SAK-act. 87), ist zu schliessen, dass A._______ tatsächlich zwischen 1973 und 1989 unter dem Namen B._______ dort gearbeitet hatte. Auch das Ehepaar C._______, welches durch die SAK befragt wurde, bestätigte, dass auf dem Foto B._______, welcher bei der D._______ AG gearbeitet habe, zu sehen sei (vgl. SAK-act. 41 S. 2). Auch der Umstand, dass im Jahr 1977 ein Fahrausweis auf den Namen B._______ mit dem Bild von A._______ ausgestellt worden ist, fügt sich somit in dieses Gesamtbild ein. Da die befragten Personen auf dem Foto von A._______ B._______ erkannt haben, ist gestützt auf die von der SAK eingeholten Auskünfte davon auszugehen, dass A._______ die Identität von B._______ übernommen, unter seinem Namen bei der D._______ AG gearbeitet und Beiträge an die Alters , Hinterlassenen- und Invalidenversicherung entrichtet hatte. Entgegen der Ansicht der SAK haben die Aussagen von Personen, die A._______/B._______ nahe standen nicht per se einen geringen Beweiswert. Es ist vielmehr davon auszugehen, dass nur Personen, die A._______/B._______ gut kannten, in der Lagen sind, Aussagen zu einer Person auf einem Foto zu machen. Wenn die befragten Personen - wie vorliegend - kein eigenes Interesse am Verfahrensausgang haben, gibt es auch keinen Grund deren Aussagen mit besonderer Vorsicht zu geniessen. Aus dem Gesagten ergibt sich, dass die AHV-Beiträge für die gesamte Dauer der Beschäftigung bei der D._______ AG (1973 bis 1989) A._______ anzurechnen sind (Dossier "B._______" SAK-act. 1 S. 31). Ferner gibt es auch keinen Grund, weitere Beitragszeiten (1988 bis 1994) anders zu behandeln, zumal für A._______ unbestrittenermassen nie ein eigenes individuelles Konto eröffnet worden ist und er demzufolge in der Schweiz offensichtlich immer unter dem Namen B._______ gearbeitet hat. Ferner ist darauf hinzuweisen, dass ausser A._______ niemand einen Anspruch aus den Beitragszeiten von B._______ geltend machte. Zusammenfassend ist somit festzuhalten, dass die unter dem Namen B._______ generierten Beitragszeiten der AHV A._______ anzurechnen sind. Die Beschwerde ist somit gutzuheissen und der angefochtene Entscheid vom 31. August 2011 aufzuheben. 6.1 Das Verfahren ist für die Parteien kostenlos (Art. 85bis Abs. 2 AHVG), so dass keine Verfahrenskosten zu erheben sind. 6.2 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Die Parteientschädigung umfasst die Kosten der Vertretung sowie allfällige weitere notwendige Auslagen der Partei (Art. 8 VGKE). Der anwaltlich vertretenen Beschwerdeführerin ist zu Lasten der Vorinstanz für den gebotenen und aktenkundigen Aufwand eine Parteientschädigung von Fr. 2'000.-- zuzusprechen (vgl. Art. 14 Abs. 2 VGKE). Der unterliegenden Vorinstanz ist keine Parteientschädigung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