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C-5563/2007 vom 8. Juni 2009</w:t>
      </w:r>
    </w:p>
    <w:p>
      <w:r>
        <w:t>Bundesverwaltungsgericht, 2009-06-08, FR</w:t>
      </w:r>
    </w:p>
    <w:p>
      <w:r>
        <w:rPr>
          <w:b/>
        </w:rPr>
        <w:t xml:space="preserve">Quelle: </w:t>
      </w:r>
      <w:r>
        <w:t>https://mcp.opencaselaw.ch/entscheid/bvger_C-5563_2007</w:t>
      </w:r>
    </w:p>
    <w:p>
      <w:r>
        <w:t>FR: TAF C-5563/2007 du 8 juin 2009</w:t>
      </w:r>
    </w:p>
    <w:p>
      <w:r>
        <w:t>IT: TAF C-5563/2007 del 8 giugno 2009</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applicable vu la nature formelle de la disposition,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À cet égard, il convient de relever que les dispositions de l'ALCP ne sont en principe applicables que pour les prestations postérieures à leur entrée en vigueur, soit le 1er juin 2002 (ATF 128 V 315 consid. 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Lors de l'examen d'un éventuel droit à une rente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la rente s'examine pour la période s'étendant jusqu'au 31 décembre 2002 à la lumière des anciennes normes et, à partir de ce moment-là, des nouvelles (ATF 130 V 445 consid. 1). Ainsi, les dispositions de la 4ème révision de la LAI entrée en vigueur le 1er janvier 2004 ne sont applicables que dans la mesure d'un éventuel droit à une rente d'invalidité à compter du 1er janvier 2004. Pour la période antérieure les dispositions applicables sont celles en vigueur jusqu'au 31 décembre 2003. Les dispositions de la 5ème révision de la LAI entrées en vigueur le 1er janvier 2008 ne sont en revanche pas applicables.</w:t>
      </w:r>
    </w:p>
    <w:p>
      <w:r>
        <w:rPr>
          <w:b/>
        </w:rPr>
        <w:t>E. 3.2</w:t>
      </w:r>
    </w:p>
    <w:p>
      <w:r>
        <w:t>Le recourant a présenté sa demande de rente le 3 décembre 2001. Selon l'art. 48 al. 2 LAI si l'assuré présente sa demande de rente plus de douze mois après la naissance du droit, les prestations ne sont allouées que pour les douze mois précédent le dépôt de la demande. Concrètement le Tribunal peut se limiter à examiner si le recourant avait droit à une rente le 1er décembre 2000 (12 mois avant le dépôt de la demande) ou si le droit à une rente était né entre cette date et le 18 juin 2007, date de la décision sur opposition attaquée marquant la limite dans le temps du pouvoir d'examen de l'autorité de recours (ATF 129 V 1 consid. 2.1 et ATF 121 V 362 consid. 1b).</w:t>
      </w:r>
    </w:p>
    <w:p>
      <w:r>
        <w:rPr>
          <w:b/>
        </w:rPr>
        <w:t>E. 4</w:t>
      </w:r>
    </w:p>
    <w:p>
      <w:r>
        <w:t>Selon les normes applicables une année après le cas d'assurance, soit en novembre 2001, tout requérant, pour avoir droit à une rente de l'assurance-invalidité suisse, doit remplir cumulativement les conditions suivantes: être invalide au sens de la LAI (art. 4, 28, 29 al. 1 LAI);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Selon l'art. 4 al. 1 LAI, l'invalidité est l'incapacité de gain totale ou partielle qui est présumée permanente ou de longue durée. Elle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Jusqu'au 31 décembre 2003, l'assuré avait droit à un quart de rente s'il était invalide à 40% au moins, à une demi-rente s'il était invalide à 50%, à une rente entière dès un taux d'invalidité de 66.66% (art. 28 al. 1 LAI). Depuis le 1er janvier 2004, 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un ressortissant suisse ou un ressortissant de l'UE et y réside.</w:t>
      </w:r>
    </w:p>
    <w:p>
      <w:r>
        <w:rPr>
          <w:b/>
        </w:rPr>
        <w:t>E. 5.3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121 V 264, 111 V 21 consid. 2b).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L'incapacité de gain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5.5</w:t>
      </w:r>
    </w:p>
    <w:p>
      <w:r>
        <w:t>Selon l'art. 41 LAI en vigueur jusqu'au 31 décembre 2002 (actuel art. 17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 En cas de décision simultanée sur l'octroi d'une rente et son remplacement par une autre rente ou même sa suppression, le changement est régi par l'art. 88a du Règlement du 17 janvier 1961 sur l'assurance-invalidité (RAI, RS 831.301)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5.6</w:t>
      </w:r>
    </w:p>
    <w:p>
      <w:r>
        <w:t>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2.2 et 2.3 confirmé dans 131 V 164).</w:t>
      </w:r>
    </w:p>
    <w:p>
      <w:r>
        <w:rPr>
          <w:b/>
        </w:rPr>
        <w:t>E. 6.1</w:t>
      </w:r>
    </w:p>
    <w:p>
      <w:r>
        <w:t>Il résulte du dossier que le recourant a travaillé en dernier lieu dans la restauration, activité qu'il a exercée jusqu'en novembre 2000, date de son accident.</w:t>
      </w:r>
    </w:p>
    <w:p>
      <w:r>
        <w:rPr>
          <w:b/>
        </w:rPr>
        <w:t>E. 6.2</w:t>
      </w:r>
    </w:p>
    <w:p>
      <w:r>
        <w:t>La notion d'invalidité, dont il est question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réaliser en exerçant l'activité qui peut raisonnablement être exigée de lui après les traitements et les mesures de réadaptation sur un marché du travail équilibré (art. 28 al. 2 LAI). Selon une jurisprudence constante, bien que l'invalidité soit une notion juridique et économique les données fournies par les médecins constituent néanmoins un élément utile pour apprécier les conséquence de l'atteinte à la santé et pour déterminer quels travaux peuvent être encore raisonnablement exigés de l'assuré (ATF 125 V 256 consid. 4; 115 V 133 consid. 2; 114 V 310 consid. 3c; arrêt du Tribunal fédéral I 599/2004 du 28 juillet 2005 consid. 1.2.).</w:t>
      </w:r>
    </w:p>
    <w:p>
      <w:r>
        <w:rPr>
          <w:b/>
        </w:rPr>
        <w:t>E. 7</w:t>
      </w:r>
    </w:p>
    <w:p>
      <w:r>
        <w:t>En l'espèce l'intéressé présente, d'une part, des lombalgies chroniques, status après opération d'une hernie discale L5-S1, et, d'autre part, un trouble du métabolisme du fer et une maladie ulcéreuse à Hélicobater positif. 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Conformément au principe inquisitoire qui régit la procédure dans le domaine des assurances sociales (cf. l'actuel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La constatation des atteintes à la santé de l'intéressé a été faite de façon complète par l'OAI-GE et son service médical. Les rapports médicaux au dossier permettent de circonscrire les atteintes à la santé de l'intéressé à un diagnostic clairement établi. Les affections sont essentiellement de nature lombaire et limitent le recourant surtout dans ses déplacements et le port de charges de plus de 5kg. Par ailleurs, il est admis qu'il ne peut effectuer qu'une activité lui permettant de changer relativement fréquemment de position. Tant les experts requis par l'OAI-GE que le Prof. J._______ admettent que l'intéressé ne peut plus exercer son ancienne activité dans la restauration. Par contre, il est exposé qu'une activité légère principalement assise mais permettant de changer de position permettrait à l'assuré de retrouver une capacité de travail complète. De telles activités dans l'horlogerie, domaine dans lequel l'intéressé a travaillé 3 ans dans sa jeunesse, et dans la petite mécanique légère sont nombreuses sans nécessiter une formation spéciale. Elles requièrent par contre une certaine dextérité et de la précision dans le travail effectué, qualités qui ont été relevées chez l'assuré dans le cadre du stage OSER. A l'encontre de l'avis qu'il pourrait exercer une telle activité, l'intéressé fait valoir qu'il y aurait une contre indication du fait qu'il nécessiterait de changer fréquemment de position et que le rapport OSER avait mentionné qu'une activité dans l'horlogerie, essentiellement assise, n'était pas tout à fait adaptée. Il est certes vraisemblable qu'une activité typiquement d'horloger nécessitant de rester assis plusieurs heures durant n'est pas compatible avec les lombalgies de l'intéressé, mais un grand nombre d'activités dans l'industrie légère, sans port de charges de quelques kilos, à savoir inférieurs à 5kg, permettent de maintenir une situation de travail sédentaire tout en changeant fréquemment de position. En faisant valoir qu'une activité dans l'horlogerie pourrait ne pas être tout à fait adaptée, l'intéressé ne remet pas en cause valablement l'appréciation de l'OAI-GE. En effet, le rapport OSER retient une capacité de travail résiduelle en position principalement assise permettant de fréquents changements de position comme c'est le cas de nombreux emplois dans la petite mécanique ou l'industrie horlogère sans prendre en compte exclusivement l'activité d'horloger.</w:t>
      </w:r>
    </w:p>
    <w:p>
      <w:r>
        <w:rPr>
          <w:b/>
        </w:rPr>
        <w:t>E. 10.2</w:t>
      </w:r>
    </w:p>
    <w:p>
      <w:r>
        <w:t>L'intéressé fait valoir que ses autres affections que lombaires n'ont pas été prises en compte correctement par les experts qui l'ont examiné, d'ailleurs non spécialistes en la matière. Il note que si les tests relatifs à l'hémochromatose avaient été négatifs, il était admis qu'il en manifestait les symptômes et que la Dresse F.______ était d'avis que cette atteinte du métabolisme liée à un tableau de fibromyalgie avec asthénie et douleurs, d'épigastralgie avec infection et de myalgie chronique était propre à déterminer une incapacité totale de travail. Il ne fait pas de doute que l'intéressé présente un excès de fer dans le sang et que celui-ci doive faire l'objet d'un contrôle régulier. Il appert toutefois au dossier que les saignées ne sont pas nombreuses par année et que l'excès de fer n'a pas eu de répercussion sur des organes de l'assuré dont les atteintes auraient objectivé un affaiblissement et les fatigues alléguées par l'assuré. Ces fatigues étaient d'ailleurs existantes avant l'accident en novembre 2000. La Dresse F._______ énonce une incapacité de travail de l'intéressé pour son activité dans la restauration qui nécessite comme l'a relevé à juste titre le Prof. J._______ de rester constamment debout et d'effectuer plusieurs allées et venues avec des ports de charges. La Dresse F._______ n'a en revanche pas attesté d'une incapacité de travail pour toute activité.</w:t>
      </w:r>
    </w:p>
    <w:p>
      <w:r>
        <w:rPr>
          <w:b/>
        </w:rPr>
        <w:t>E. 10.3</w:t>
      </w:r>
    </w:p>
    <w:p>
      <w:r>
        <w:t>Le Tribunal de céans partage dès lors l'appréciation des experts de la CRR et de l'OAI-GE, respectivement de l'OAIE, selon lequel l'intéressé présente une incapacité de travail totale dans son métier dans la restauration, mais qu'il aurait pu exercer à 100% une activité lucrative adaptée à son état de santé. L'expertise du 5 avril 2005 de la Clinique romande de réadaptation, mais aussi les différents rapport du Prof. J._______, sont probants à ce propos et excluent toute incapacité de travail dans une activité de substitution. Il convient en outre de relever que les attestations médicales d'incapacité de travail régulièrement présentées par l'intéressé émanant de son médecin traitant ne peuvent être retenues faute d'être documentées. S'agissant de la date de l'amélioration de l'état de santé, il faut souligner que l'OAI-GE, après avoir constaté qu'elle était survenue le mois de novembre 2002 (voir le rapport de la division de réadaptation du 19 juillet 2005 ainsi que la motivation du prononcé du 21 juillet 2005), a indiqué que l'intéressé avait droit à une rente entière jusqu'au 30 novembre 2003. Le Tribunal de céans peut se rallier à cette date. Une précision s'impose néanmoins à cet égard: le rapport du 5 avril 2005 de la Clinique romande de réadaptation retient la date du 22 novembre 2002, soit deux ans après l'accident, pour admettre une amélioration. Le Prof. J._______ a, quant à lui, admis une date de consolidation du status de l'intéressé au 10 juin 2002 relevant qu'aucun fait médical ou projet thérapeutique n'était intervenu à compter de cette date. Toutefois, ces deux dernières appréciations ne tiennent pas suffisamment compte du fait que la reprise d'une activité de substitution nécessitait une réintégration progressive. Ainsi, l'expertise du Centre Multidisciplinaire de la douleur du 7 octobre 2003 (p. 21) exposait que le mois de novembre 2002 la capacité de travail dans une activité légère était encore de 50% mais que, après 6 mois, elle aurait dû augmenter à 100%. Du reste, la première appréciation de la Clinique romande de réadaptation indiquait, dans son rapport du 20 janvier 2003, que l'intéressé aurait pu reprendre une activité de substitution à 100% dans un délai de 6 mois après une période de rééducation (et non pas déjà en novembre 2002 comme suggéré dans le rapport du 5 avril 2005). Cette expertise est vraisemblablement à l'origine de la décision de l'Office AI d'allouer à l'intéressé une rente au-delà du mois de février 2003, mais seulement pour une durée limitée dans le temps, alors que plusieurs rapports indiquaient que l'état de santé de l'intéressé s'était déjà amélioré à cette date. On peut donc admettre que l'intéressé a retrouvé une capacité de travail complète - dans une activité adaptée - pas en novembre 2002 mais au plus tard en juillet/août 2003.</w:t>
      </w:r>
    </w:p>
    <w:p>
      <w:r>
        <w:rPr>
          <w:b/>
        </w:rPr>
        <w:t>E. 10.4</w:t>
      </w:r>
    </w:p>
    <w:p>
      <w:r>
        <w:t>Reste à examiner quelle est la perte de gain subie par l'intéressé du fait de son invalidité.</w:t>
      </w:r>
    </w:p>
    <w:p>
      <w:r>
        <w:rPr>
          <w:b/>
        </w:rPr>
        <w:t>E. 11.1</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La comparaison de revenus doit s'effectuer sur le même marché du travail (ATF 110 V 273 consid. 4b; arrêt du Tribunal fédéral I 222/05 du 13 octobre 2005 consid. 6.1).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11.2</w:t>
      </w:r>
    </w:p>
    <w:p>
      <w:r>
        <w:t>En l'espèce l'OAIE a procédé à une évaluation de l'invalidité selon la méthode générale par une comparaison de revenus entre le salaire annuel de l'intéressé valeur 2001 indexé 2002 avec un revenu théorique 2002 pour des activités de substitution simples, répétitives et légères des domaines de travail 15-37 (industrie manufacturière) proposées par le service médical de l'OAI-GE. Or, vu les revenus comparés, lesquels peuvent être confirmés, vu la réduction du revenu de substitution de 20% pour raison d'âge et de limitation à des travaux légers sédentaires, laquelle est conforme à la jurisprudence, le taux d'invalidité à compter de 2003 est de 32.8% (cf. le calcul au consid. C) et n'ouvre plus le droit à une rente.</w:t>
      </w:r>
    </w:p>
    <w:p>
      <w:r>
        <w:rPr>
          <w:b/>
        </w:rPr>
        <w:t>E. 11.3</w:t>
      </w:r>
    </w:p>
    <w:p>
      <w:r>
        <w:t>C'est donc à juste titre que l'Office intimé a mis le recourant au bénéfice d'une rente entière limitée dans le temps. Le droit à la rente entière doit être reconnu à partir du 1er novembre 2001, soit une année après le début de l'incapacité de travail. La suppression du droit à la rente prend effet dès le 1er décembre 2003, soit trois mois après l'amélioration constatée en juillet/août 2003 (art. 88a RAI). Par voie de conséquence, le recours doit être rejeté et la décision du 18 juin 2007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ATF 130 V 97 consid. 3.2 et références citées; ATF 123 V 233 consid. 3c; Ueli Kieser, Schweizerisches Sozialversicherungsrecht, Zurich/St-Gall 2008, p. 204; Thomas Locher, Grundriss des Sozialversicherungsrechts, 3ème éd., Berne 2003, p. 122 s., 235, 268 ss).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VSI 1999 p. 247 consid. 1; Pratique VSI 1998 p. 296 consid. 3b).</w:t>
      </w:r>
    </w:p>
    <w:p>
      <w:r>
        <w:rPr>
          <w:b/>
        </w:rPr>
        <w:t>E. 13.1</w:t>
      </w:r>
    </w:p>
    <w:p>
      <w:r>
        <w:t>Il n'est pas perçu de frais de procédure.</w:t>
      </w:r>
    </w:p>
    <w:p>
      <w:r>
        <w:rPr>
          <w:b/>
        </w:rPr>
        <w:t>E. 13.2</w:t>
      </w:r>
    </w:p>
    <w:p>
      <w:r>
        <w:t>Vu l'issue du litige, il n'est pas alloué de dépens (art. 64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