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C-5556/2014 vom 28. Mai 2015</w:t>
      </w:r>
    </w:p>
    <w:p>
      <w:r>
        <w:t>Bundesverwaltungsgericht, 2015-05-28, DE</w:t>
      </w:r>
    </w:p>
    <w:p>
      <w:r>
        <w:rPr>
          <w:b/>
        </w:rPr>
        <w:t xml:space="preserve">Quelle: </w:t>
      </w:r>
      <w:r>
        <w:t>https://mcp.opencaselaw.ch/entscheid/bvger_C-5556_2014</w:t>
      </w:r>
    </w:p>
    <w:p>
      <w:r>
        <w:t>FR: TAF C-5556/2014 du 28 mai 2015</w:t>
      </w:r>
    </w:p>
    <w:p>
      <w:r>
        <w:t>IT: TAF C-5556/2014 del 28 maggio 2015</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5 VwVG; Art. 31 ff. VGG).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 bzw. innert angesetzter Frist verbesserte (vgl. Sachverhalt Bst. C u. Bst. D) - Beschwerde ist einzutreten (Art. 50 und 52 VwVG).</w:t>
      </w:r>
    </w:p>
    <w:p>
      <w:r>
        <w:rPr>
          <w:b/>
        </w:rPr>
        <w:t>E. 1.3</w:t>
      </w:r>
    </w:p>
    <w:p>
      <w:r>
        <w:t>Die Vorinstanz hat ursprünglich ein dreijähriges Einreiseverbot gegen den Beschwerdeführer erlassen, diese Fernhaltemassnahme wiedererwägungsweise auf die Dauer von zwei Jahren reduziert. Soweit die Beschwerde dadurch nicht gegenstandslos geworden ist - beantragt wird die gänzliche Aufhebung des Einreiseverbots - bleibt der Rechtsstreit aufrechterhalten (vgl. Art. 58 Abs. 3 VwVG).</w:t>
      </w:r>
    </w:p>
    <w:p>
      <w:r>
        <w:rPr>
          <w:b/>
        </w:rPr>
        <w:t>E. 1.4</w:t>
      </w:r>
    </w:p>
    <w:p>
      <w:r>
        <w:t>Das Bundesverwaltungsgericht entscheidet in der vorliegenden Angele­genheit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Einreiseverbote ge­gen ausländische Personen erlassen, die gegen die öffentliche Sicherheit und Ordnung in der Schweiz oder im Ausland verstossen haben oder diese gefährden (Art. 67 Abs. 2 Bst. a AuG). Die «öffentliche Sicherheit und Ordnung» bildet den Oberbegriff für die Gesamtheit der polizeilichen Schutzgüter; sie umfasst u.a. die Unverletzlichkeit der objektiven Rechtsord­nung und der Rechtsgüter Einzelner. Ein Verstoss gegen die öffentliche Sicherheit und Ordnung liegt insbesondere vor, wenn gesetzliche Vorschriften missachtet werden (Art. 80 Abs. 1 Bst. a der Verordnung vom 24. Okto­ber 2007 über Zulassung, Aufenthalt und Erwerbstätigkeit [VZAE, SR 142.201]); darunter fallen u.a. auch Widerhandlungen gegen das Ausländerrecht. Eine Gefährdung liegt vor, wenn konkrete Anhaltspunkte dafür bestehen, dass der Aufenthalt der betroffenen Person in der Schweiz mit erheblicher Wahrscheinlichkeit zu einem Verstoss gegen die öffentliche Sicherheit und Ordnung führt (Art. 80 Abs. 2 VZAE). Die Verhängung eines Einreiseverbots knüpft an das Beste­hen eines Risikos einer künftigen Gefährdung an. Bei der Prognosestellung ist naturgemäss in erster Linie das vergangene Verhalten der betroffenen Person zu berücksichtigen (vgl. Urteil des BVGer C 2406/2014 vom 19. Februar 2015 E. 4.2 m.H.).</w:t>
      </w:r>
    </w:p>
    <w:p>
      <w:r>
        <w:rPr>
          <w:b/>
        </w:rPr>
        <w:t>E. 3.2</w:t>
      </w:r>
    </w:p>
    <w:p>
      <w:r>
        <w:t>Wird gegen eine Person, die nicht das Bürgerrecht eines EU-Mit­gliedstaates besitzt, ein Einreiseverbot verhängt, so wird sie nach Massgabe der Bedeutung des Falles im Schengener Informationssys­tem (SIS II) zur Einreiseverweigerung ausgeschrieben (vgl. Art. 21 u. Art. 24 der Verordnung [EG] Nr. 1987/2006 des Europäischen Parlaments und des Rates vom 20. Dezember 2006 über die Einrichtung, den Betrieb und die Nutzung des Schengener Informationssystems der zweiten Genera­tion [SIS-II-VO, ABl. L 381/4 vom 28.12.2006]). Damit wird dem Betroffenen grund­sätzlich die Einreise in das Hoheitsgebiet aller Schengen-Staaten verbo­ten (vgl. Art. 5 Abs. 1 Bst. d sowie Art. 13 Abs. 1 der Verordnung [EG] Nr. 562/2006 des Europäischen Parlaments und des Rates vom 15. März 2006 über einen Gemeinschaftskodex für das Überschreiten der Grenze durch Personen [Schengener Grenzkodex, SGK, ABl. L 105/1 vom 13.4.2006]). Die Mitgliedstaaten können dem Betroffe­nen aus wichtigen Gründen oder aufgrund internationaler Verpflichtungen die Einreise gestatten bzw. ihm ein Vi­sum mit räum­lich beschränkter Gültigkeit ausstellen (vgl. Art. 13 Abs. 1 der Verord­nung [EG] Nr. 810/2009 des Europäischen Parlaments und des Ra­tes vom 13. Juli 2009 über einen Visakodex der Gemeinschaft [Visako­dex], ABl. L 243/1 vom 15.9.2009 i.V.m Art. 5 Abs. 4 Bst. c SGK; Art. 25 Abs. 1 Bst. a Ziff. ii Visakodex).</w:t>
      </w:r>
    </w:p>
    <w:p>
      <w:r>
        <w:rPr>
          <w:b/>
        </w:rPr>
        <w:t>E. 4.1</w:t>
      </w:r>
    </w:p>
    <w:p>
      <w:r>
        <w:t>Die Vorinstanz stützt das wiedererwägungsweise auf die Dauer von zwei Jahren befristete Einreiseverbot (vgl. Sachverhalt Bst. E) allgemein auf Art. 67 AuG und führt zur Begründung aus, der Beschwerdeführer sei in der Schweiz ohne Bewilligung erwerbstätig gewesen und habe damit gegen die öffentliche Sicherheit und Ordnung verstossen (Art. 67 Abs. 2 Bst. a AuG). Der Beschwerdeführer bestreitet diesen Vorwurf und führt aus, er sei aus rein privaten Gründen in der Schweiz gewesen und nicht um zu arbeiten. Er habe einzig auf freundschaftlicher Basis und ohne Bezahlung einige Tätigkeiten ausgeführt (vgl. Sachverhalt Bst. C).</w:t>
      </w:r>
    </w:p>
    <w:p>
      <w:r>
        <w:rPr>
          <w:b/>
        </w:rPr>
        <w:t>E. 4.2</w:t>
      </w:r>
    </w:p>
    <w:p>
      <w:r>
        <w:t>Der Beschwerdeführer wurde am 26. März 2015 der mehrfachen Erwerbstätigkeit ohne Bewilligung gemäss Art. 115 Abs. 1 Bst. c AuG schuldig gesprochen (vgl. Sachverhalt Bst. F). Die Staatsanwaltschaft führte zur Begründung aus, der Beschwerdeführer sei von Januar 2012 bis August 2014 wiederholt in die Schweiz eingereist und habe bei seinen jeweiligen Aufenthalten gegen Kost und Logis kleinere Arbeiten für die Unternehmungen der Gebrüder A._______ und B._______ ausgeführt, ohne über eine entsprechende Arbeitsbewilligung zu verfügen. Zudem habe er Occasionsautos und Fahrzeugteile erworben, um diese in seiner Heimat weiterzuverkaufen. Diese (gemäss telefonischer Auskunft der Staatsanwaltschaft Graubünden rechtskräftige) strafrechtliche Verurteilung ist im vorliegenden verwaltungsrechtlichen Verfahren zwar grundsätzlich nicht bindend. Der Grundsatz der Einheit der Rechtsordnung gebietet indessen, wider­sprüchliche Entscheide zu vermeiden, weshalb nicht ohne Not von den tatsächlichen Feststellungen der Strafbe­hörden abzuweichen ist (vgl. BVGE 2013/33 E. 4.3; BGE 136 II 447 E. 3.1 je m.H.).</w:t>
      </w:r>
    </w:p>
    <w:p>
      <w:r>
        <w:rPr>
          <w:b/>
        </w:rPr>
        <w:t>E. 4.3</w:t>
      </w:r>
    </w:p>
    <w:p>
      <w:r>
        <w:t>Gemäss Art. 11 Abs. 1 AuG benötigen Ausländer, die in der Schweiz eine Erwerbstätigkeit ausüben wollen, eine Bewilligung. Als Erwerbstätigkeit gilt hierbei jede üblicherweise gegen Entgelt ausgeübte unselbstständige oder selbstständige Tätigkeit, selbst wenn sie unentgeltlich erfolgt (Art. 11 Abs. 2 AuG). Als unselbstständige Erwerbstätigkeit gilt jede Tätigkeit für einen Arbeitgeber mit Sitz in der Schweiz oder im Ausland, wobei es ohne Belang ist, ob der Lohn im In- oder Ausland ausbezahlt wird und eine Beschäftigung nur stunden- oder tageweise oder vorübergehend ausgeübt wird (Art. 1a Abs. 1 VZAE).</w:t>
      </w:r>
    </w:p>
    <w:p>
      <w:r>
        <w:rPr>
          <w:b/>
        </w:rPr>
        <w:t>E. 4.4</w:t>
      </w:r>
    </w:p>
    <w:p>
      <w:r>
        <w:t>Aufgrund der vorliegenden Akten besteht kein Anlass, von der Einschätzung der Strafbehörden abzuweichen. Der Beschwerdeführer hat eingeräumt, dass er sowohl A._______ als auch B._______ «zwischendurch geholfen» habe (vgl. SEM act. 1 S. 3). Dass es im Rahmen der polizeilichen Einvernahme zu Missverständnissen gekommen sein könnte (vgl. Sachverhalt Bst. C), ist auszuschliessen. Der Beschwerdeführer verzichtete auf den Beizug eines Anwalts und führte aus, er verstehe sehr gut Deutsch, weil er von 1992 bis 1998 in der Schweiz gelebt habe (vgl. SEM act.1 S. 5). K.______, ein Angestellter von A._______, sagte gegenüber der Polizei aus, der Beschwerdeführer sei ihm ab und zu zur Hand gegangen, zum Beispiel, um ein Getriebe herauszunehmen. Ob ein Lohn bezahlt worden sei, wisse er nicht (vgl. StA GR act., Dossier 5, Nr. 3, S. 2.). A._______ sagte aus, der Beschwerdeführer habe ihm beim Umzug geholfen und zu den Kindern geschaut. Er habe sowohl in seiner Garage als auch im Spritzwerk seines Bruders B._______ kleine Arbeiten ausgeführt, z.B etwas abgeschliffen, ein Auto geputzt oder Botengänge erledigt. Ein Lohn sei ihm nicht ausbezahlt worden. Es habe Sandwich und Kaffee gegeben, man habe ihm die Wäsche gemacht und ihm ein Auto zur Verfügung gestellt und das Benzin bezahlt. Zu Hause habe der Beschwerdeführer absolut nichts, so habe er «wenigstens Kost und Logis». So könne er ihm wenigstens etwas helfen. Der Beschwerdeführer nehme auch sehr dankbar gebrauchte Kleider für sein Kind mit nach Hause. Er habe ihm auch altes Werkzeug, alte Ersatzteile und alte Autos geschenkt, so müsse er diese Ware nicht entsorgen. Das Hotelzimmer habe er reserviert und bezahlt, die Kosten müsse der Beschwerdeführer ihm jedoch begleichen (vgl. StA GR act., Dossier 5, Nr. 5, S. 1 ff.).</w:t>
      </w:r>
    </w:p>
    <w:p>
      <w:r>
        <w:rPr>
          <w:b/>
        </w:rPr>
        <w:t>E. 4.5</w:t>
      </w:r>
    </w:p>
    <w:p>
      <w:r>
        <w:t>Der Beschwerdeführer und sein Vertreter A._______ verweisen in glaubhafter Weise auf ihr freundschaftliches Verhältnis. A._______ gewährte dem Beschwerdeführer Kost und Logis und verschaffte ihm durch die Überlassung von Ersatzteilen und Autos die Möglichkeit, in der Heimat einen Verdienst zu erzielen. Es handelte sich indes nicht um ein einseitiges Verhältnis, zumal die Arbeiten, welche der Beschwerdeführer erledigte (E. 4.3.1), den Rahmen von Gefälligkeitshandlungen sprengten. Eine Ausnahmesituation, wo der Erwerbscharakter durch eine besondere verwandtschaftliche oder emotionale Nähe in den Hintergrund gedrängt wird, liegt nicht vor (vgl. dazu Urteil des BVGer C-447/2013 vom 31. Januar 2014 E. 5.2.2 m.H.). Die vom Beschwerdeführer erledigten Tätigkeiten - insb. die Arbeiten in der Garage - werden üblicherweise gegen Entgelt vorgenommen, weshalb sogar dann eine Bewilligungspflicht bestanden hätte, wenn sie unentgeltlich erfolgt wären (Art. 11 Abs. 2 AuG). Dies war hier indessen nicht der Fall, hat A._______ doch - wie er anlässlich der polizeilichen Einvernahme selber ausführte - Kost und Logis übernommen (vgl. StA GR act., Dossier 5, Nr. 5, S. 2). Ob dem Beschwerdeführer daneben ein weiteres Entgelt ausgerichtet wurde, bzw. ob die ihm überlassenen alten Werkzeuge, Ersatzteile und Autos als Entgelt zu qualifizieren sind, ist im Ergebnis nicht von Bedeutung (vgl. Urteil des BVGer C 6693/2011 vom 1. März 2013 E. 4.1 m.H.) und kann offen bleiben. Ebenfalls nicht entscheidend ist, dass die Beschäftigung nur vorübergehend ausgeübt wurde (Art. 1a Abs. 1 VZAE), wobei festzuhalten ist, dass der Beschwerdeführer gemäss eigener Aussage seit dem Jahr 2012 «immer wieder» in die Schweiz gekommen ist (vgl. StA GR act., Dossier 5, Nr. 2, S. 2).</w:t>
      </w:r>
    </w:p>
    <w:p>
      <w:r>
        <w:rPr>
          <w:b/>
        </w:rPr>
        <w:t>E. 4.6</w:t>
      </w:r>
    </w:p>
    <w:p>
      <w:r>
        <w:t>Die Staatsanwaltschaft bestrafte den Beschwerdeführer mit einer Geldstrafe, ging also davon aus, dass er vorsätzlich - d.h. mit Wissen und Willen - ausländerrechtliche Bestimmungen verletzt hat (vgl. Art. 12 Abs. 2 f. StGB sowie Art. 115 Abs. 1 Bst. c i.V.m. Art. 115 Abs. 3 AuG). Selbst wenn man lediglich von einem fahrlässigen Handeln des Beschwerdeführers ausginge - zumindest eine Sorgfaltspflichtverletzung ist ihm zuzurechnen, weil er sich über bestehende Rechte und Pflichten ins Bild hätte setzen müssen - bestünde hinreichender Anlass zum Erlass einer Fernhaltemassnahme (vgl. Urteil C-447/2013 E. 5.2.3 m.H.).</w:t>
      </w:r>
    </w:p>
    <w:p>
      <w:r>
        <w:rPr>
          <w:b/>
        </w:rPr>
        <w:t>E. 4.7</w:t>
      </w:r>
    </w:p>
    <w:p>
      <w:r>
        <w:t>Der Beschwerdeführer ist somit durch seine Tätigkeiten für A._______ und B._______ einer Erwerbstätigkeit nachgegangen, ohne im Besitz der hierfür erforderlichen Bewilligung zu sein (vgl. Art. 115 Abs. 1 Bst. c i.V.m. Art. 11 AuG und Art. 1a Abs. 1 VZAE). Es kann daher offen bleiben, ob seine weiteren Aktivitäten (vgl. SEM act. 1 S. 4: «Ich kaufe Autos und bringe diese jeweils in meine Heimat») als bewilligungspflichtige selbstständige Erwerbstätigkeit zu qualifizieren sind. Dies würde voraussetzen, dass er im Sinne von Art. 2 Abs. 1 VZAE «gegen aussen in Erscheinung» getreten wäre (vgl. dazu Philipp Gremper, in: Uebersax et al. [Hrsg.], Ausländerrecht, 2. Aufl. 2009, N. 18.2 ff. m.H.).</w:t>
      </w:r>
    </w:p>
    <w:p>
      <w:r>
        <w:rPr>
          <w:b/>
        </w:rPr>
        <w:t>E. 4.8</w:t>
      </w:r>
    </w:p>
    <w:p>
      <w:r>
        <w:t>Der Beschwerdeführer hat durch die Aufnahme einer Erwerbstätigkeit ohne Bewilligung gegen die öffentliche Sicherheit und Ordnung verstossen und damit hinreichenden Anlass für die Verhängung eines Einreiseverbotes gegeben (vgl. Art. 67 Abs. 2 Bst. a AuG; Art. 80 Abs. 1 Bst. a VZAE; E. 3.1). Mit Bezug auf sein Vorbringen, von ihm gehe keine Gefährdung der öffentlichen Sicherheit und Ordnung aus, ist erstens festzuhalten, dass das Einreiseverbot auch der Gefahrenabwehr durch Generalprävention im Sinne der Einwirkung auf andere Rechtsgenossen dient (vgl. Urteil des BVGer C-5232/2014 vom 18. März 2015 E. 4.2 m.H.). Zweitens ist aus dem bisherigen Verhalten des Beschwerdeführers auf eine Gefährdung der öffentlichen Sicherheit und Ordnung zu schliessen (vgl. E. 3.1), d.h. das Einreiseverbot hat auch spezialpräventiven Charakter, um einer weiteren illegalen Erwerbstätigkeit des Beschwerdeführers und damit einer weiteren Störung der öffentlichen Sicherheit und Ordnung entgegenzuwirken (vgl. Urteil C-447/2013 E. 6.2).</w:t>
      </w:r>
    </w:p>
    <w:p>
      <w:r>
        <w:rPr>
          <w:b/>
        </w:rPr>
        <w:t>E. 5.1</w:t>
      </w:r>
    </w:p>
    <w:p>
      <w:r>
        <w:t>Zu prüfen bleibt, ob die Vorinstanz im Rahmen der Ermessensausübung richtigerweise nicht vom Erlass eines Einreise­verbots abgesehen hat, und - falls diese Frage bejaht wird - welche Dauer des Einreiseverbots angemessen ist. Der Grundsatz der Verhältnismässigkeit steht bei dieser Prüfung im Vordergrund. Es ist eine wertende Abwägung vorzunehmen zwi­schen dem öffentlichen Interesse an der Massnahme einerseits und den von der Massnahme beeinträchtigten privaten Interessen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w:t>
      </w:r>
    </w:p>
    <w:p>
      <w:r>
        <w:rPr>
          <w:b/>
        </w:rPr>
        <w:t>E. 5.2</w:t>
      </w:r>
    </w:p>
    <w:p>
      <w:r>
        <w:t>Der Beschwerdeführer ging in der Schweiz ohne Bewilligung einer Erwerbstätigkeit nach und wurde deshalb weggewiesen (vgl. Sachverhalt Bst. A). Aus dem von ihm manifestierten Verhalten ist auf eine Gefährdung der öffentlichen Sicherheit und Ordnung zu schliessen (vgl. E. 4.8). Das Einreiseverbot soll einer weiteren illegalen Erwerbstätigkeit in der Schweiz entgegenzuwirken und künftigen Störungen der öffentlichen Sicherheit und Ordnung entgegenwirken. Zu berücksichtigen ist hierbei auch, dass den ausländerrechtlichen Normen im Interesse einer funktionierenden Rechtsordnung eine hohe Bedeutung zukommt. Namentlich das generalpräventiv motivierte Interesse, die ausländerrechtliche Ordnung durch eine konsequente Massnahmenpraxis zu schützen, ist als gewichtig zu betrachten (zur Zulässigkeit der Berücksichtigung generalpräventiver Aspekte vgl. Urteil des BGer 2C_516/2014 vom 24. März 2015 E. 3.2 m.H.). Es besteht somit ein gewichtiges öffentliches Interesse an der Fernhaltung des Beschwerdeführers.</w:t>
      </w:r>
    </w:p>
    <w:p>
      <w:r>
        <w:rPr>
          <w:b/>
        </w:rPr>
        <w:t>E. 5.3</w:t>
      </w:r>
    </w:p>
    <w:p>
      <w:r>
        <w:t>Den öffentlichen Interessen sind die privaten Interessen des Be­schwerdeführers gegenüberzustellen. Dieser beruft sich insbesondere auf seine freundschaftliche Beziehung zur Familie von A._______ und auf enge Verbindungen zu ehemaligen Schulfreunden in der Schweiz. Diese privaten Interessen vermögen jedoch weder eine Aufhebung noch eine (weitere) Reduktion der Dauer des Einreiseverbots zu rechtfertigen. Dem Beschwerdeführer sind überdies während der Geltungsdauer der Fernhaltemassnahme (bis 29. August 2016) Besuchsaufenthalte bei ihm nahe stehenden Personen in der Schweiz nicht schlichtweg untersagt; das SEM kann die Fernhaltemassnahme auf begründetes Gesuch hin aus humanitären oder anderen wichtigen Gründen befristet suspendieren (vgl. Art. 67 Abs. 5 AuG; BVGE 2013/4 E. 7.4.3 m.H.). Im Übrigen kann er den Kontakt zu seinen Schweizer Freunden und Bekannten auch auf andere Weise als durch Besuche in der Schweiz pflegen (z.B. Briefverkehr, Telefonate, Besuche der Freunde in seinem Heimatland). Die zweijährige Dauer der Fernhaltemassnahme entspricht sodann der Praxis des Gerichts in vergleichbaren Fällen (vgl. z.B. die Urteile des BVGer C 6993/2014 vom 30. März 2015 E. 5; C-3698/2012 vom 20. Februar 2014 E. 5; C 447/2013 E. 5 f.; C 6693/2011 vom 1. März 2013 E. 5).</w:t>
      </w:r>
    </w:p>
    <w:p>
      <w:r>
        <w:rPr>
          <w:b/>
        </w:rPr>
        <w:t>E. 5.4</w:t>
      </w:r>
    </w:p>
    <w:p>
      <w:r>
        <w:t>Das verhängte Einreiseverbot stellt somit sowohl im Grundsatz als auch hinsichtlich der (wiedererwägungsweise auf zwei Jahre reduzierten) Dauer eine verhältnismässige und angemessene Massnahme zum Schutz der öffentlichen Sicherheit und Ordnung dar. Nicht zu beanstanden ist, dass dem Beschwerdeführer die Einreise in das Hoheitsgebiet sämtlicher Schengen-Staaten verboten wurde (vgl. Art. 21 i.V.m. Art. 24 SIS-II-VO sowie BVGE 2014/20 E. 8.5 m.H.). Es bleibt den Schengen-Staaten überdies unbenommen, dem Beschwerdeführer bei Vorliegen besonderer Gründe die Einreise ins eigene Hoheitsgebiet zu gestatten (vgl. E. 3.2 sowie Art. 67 Abs. 5 AuG).</w:t>
      </w:r>
    </w:p>
    <w:p>
      <w:r>
        <w:rPr>
          <w:b/>
        </w:rPr>
        <w:t>E. 6</w:t>
      </w:r>
    </w:p>
    <w:p>
      <w:r>
        <w:t>Aus diesen Erwägungen ergibt sich, dass die Beschwerde abzuweisen ist, soweit sie nicht durch Wiedererwägung gegenstandslos geworden ist (vgl. E. 1.3 sowie Sachverhalt Bst. E). Im Übrigen ist die angefochtene Verfügung nicht zu beanstanden (Art. 49 VwVG).</w:t>
      </w:r>
    </w:p>
    <w:p>
      <w:r>
        <w:rPr>
          <w:b/>
        </w:rPr>
        <w:t>E. 7</w:t>
      </w:r>
    </w:p>
    <w:p>
      <w:r>
        <w:t>Dem Beschwerdeführer wurde die unentgeltliche Rechtspflege gewährt; er ist daher von der Bezahlung von Verfahrenskosten befreit (vgl. Art. 63 i.V.m. Art. 65 VwVG). Ein Anspruch auf eine (gekürzte) Parteientschädigung besteht nicht, da keine verhältnismässig hohen Kosten angefallen sind (vgl. Art. 64 Abs. 1 VwVG i.V.m. Art. 7 Abs. 2 und Abs. 4 des Reglements vom 21. Februar 2008 über die Kosten und Entschädigungen vor dem Bundesverwaltungsgericht [VGKE,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