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C-5555/2011 vom 20. Dezember 2012</w:t>
      </w:r>
    </w:p>
    <w:p>
      <w:r>
        <w:t>Bundesverwaltungsgericht, 2012-12-20, IT</w:t>
      </w:r>
    </w:p>
    <w:p>
      <w:r>
        <w:rPr>
          <w:b/>
        </w:rPr>
        <w:t xml:space="preserve">Quelle: </w:t>
      </w:r>
      <w:r>
        <w:t>https://mcp.opencaselaw.ch/entscheid/bvger_C-5555_2011</w:t>
      </w:r>
    </w:p>
    <w:p>
      <w:r>
        <w:t>FR: TAF C-5555/2011 du 20 décembre 2012</w:t>
      </w:r>
    </w:p>
    <w:p>
      <w:r>
        <w:t>IT: TAF C-5555/2011 del 20 dicembre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La parte ricorrente sostiene, in via preliminare, che l'autorità inferiore avrebbe violato il suo diritto di essere sentito non avendogli messo a disposizione gli atti sui quali si fonda l'impugnata decisione. Il rappresentante del ricorrente ha in particolare spiegato che "la mancanza di tali documenti impedisce al sottoscritto, nella qualità di difensore, di esercitare compiutamente il diritto di difesa costituzionalmente garantito". In sede di audizione, con scritto del 9 settembre 2011, il rappresentante del ricorrente aveva infatti chiesto di avere copia dei documenti dell'incarto con relativa concessione di un termine per potere presentare le proprie argomentazioni (doc. 40 in fine). L'UAIE non è tuttavia entrato nel merito di tale richiesta nella sua decisione del 19 settembre 2011.</w:t>
      </w:r>
    </w:p>
    <w:p>
      <w:r>
        <w:rPr>
          <w:b/>
        </w:rPr>
        <w:t>E. 3.2</w:t>
      </w:r>
    </w:p>
    <w:p>
      <w:r>
        <w:t>Il diritto di essere sentito, sancito esplicitamente dall'art. 29 cpv. 2 Cost., è una garanzia costituzionale di natura formale, la cui violazione implica l'annullamento della decisione impugnata, indipendentemente dalle possibilità di successo nel merito (DTF 135 I 187 consid. 2.2). Tale garanzia comprende il diritto dell'interessato di consultare l'incarto, di offrire e di esigere l'assunzione di mezzi probatori purché siano pertinenti e riguardino punti rilevanti per il giudizio, di potersi esprimere sulle relative risultanze nella misura in cui possano influire sulla decisione (DTF 135 I 187 consid. 2.2). In sostanza, il diritto di essere sentito, quale diritto di partecipazione al procedimento, comprende tutte quelle facoltà che devono essere riconosciute ad una parte affinché possa efficacemente far valere la sua posizione nella procedura (DTF 135 II 286 consid. 5.1). Un'eventuale violazione del diritto di essere sentito va accertata anche d'ufficio ed è di natura formale. Se il Tribunale stabilisce che è data in concreto violazione del diritto di essere sentito, deve annullare la decisione e rinviare gli atti all'istanza precedente. Eccezionalmente il vizio può essere sanato a livello ricorsuale, e meglio se all'interessato è data la possibilità di esprimersi in quella sede e l'autorità giudicante esamina liberamente sia i fatti che il diritto. Inoltre si può rinunciare al rinvio anche per motivi di economia procedurale, quando esso non ha senso e provocherebbe unicamente superflue perdite di tempo (DTF 132 V 387).</w:t>
      </w:r>
    </w:p>
    <w:p>
      <w:r>
        <w:rPr>
          <w:b/>
        </w:rPr>
        <w:t>E. 3.3</w:t>
      </w:r>
    </w:p>
    <w:p>
      <w:r>
        <w:t>Nel caso in esame, lo scrivente Tribunale ritiene che l'autorità inferiore ha violato il diritto di essere sentito del ricorrente in sede di audizione poiché non ha dato seguito alla richiesta di visione degli atti formulata nello scritto del 9 settembre 2011. Questa violazione non è stata interamente sanata in sede ricorsuale poiché con l'ordinanza del 13 febbraio 2012 (doc. 6 inc. TAF) questo Tribunale si è limitato a inviare solo alcuni documenti e non tutto l'incarto (cfr. sentenza del Tribunale federale delle assicurazioni dell'11 maggio 2006 I 553/05 consid. 2.2). Ad ogni modo sapere se questa violazione giustifica l'annullamento della decisione impugnata può essere lasciato indeciso poiché il ricorso deve essere accolto per un altro motivo come lo si vedrà di seguito.</w:t>
      </w:r>
    </w:p>
    <w:p>
      <w:r>
        <w:rPr>
          <w:b/>
        </w:rPr>
        <w:t>E. 4.1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4.2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4.3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5.1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5.2</w:t>
      </w:r>
    </w:p>
    <w:p>
      <w:r>
        <w:t>Il periodo di cognizione giudiziaria dello scrivente Tribunale amministrativo federale si estende fino al 19 settembre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L'assicurato non ha più lavorato dopo il 21 agosto 2009. La sua carriera professionale, trascorsa in gran parte in Svizzera, è stata caratterizzata da attività nel campo metallurgico ed edilizio (cfr. conti individuali, doc. 16 inc. TAF).</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A._______ soffre di bronco pneumopatia cronica ostruttiva in soggetto con esiti specifici sclero-calcifici superiori associati ad enfisema bolloso apicale bilaterale, sindrome ansioso-depressiva ad incidenza funzionale di grave entità (cfr. la perizia del 20 maggio 2011, E 213, doc. 34).</w:t>
      </w:r>
    </w:p>
    <w:p>
      <w:r>
        <w:rPr>
          <w:b/>
        </w:rPr>
        <w:t>E. 9.2</w:t>
      </w:r>
    </w:p>
    <w:p>
      <w:r>
        <w:t>Per quanto concerne le conseguenze invalidanti delle menzionate affezioni, il servizio medico dell'INPS (a firma del Dott. Convenga) pone, il 18 maggio 2010 (doc. 26), un grado d'invalidità del 70%. Nella seconda perizia medica particolareggiata INPS, il Dott. Coluccia pone, il 20 maggio 2011, un tasso d'invalidità dell'80% indicando che il paziente è peggiorato (doc. 34). Dal canto suo, il Dott. Battaglia, del SMR "Rhône" esclude l'esistenza di un'invalidità di livello pensionabile.</w:t>
      </w:r>
    </w:p>
    <w:p>
      <w:r>
        <w:rPr>
          <w:b/>
        </w:rPr>
        <w:t>E. 9.3.1</w:t>
      </w:r>
    </w:p>
    <w:p>
      <w:r>
        <w:t>Ora, il rapporto del Dott. Battaglia non può essere seguito per più motivi. Già per quanto riguarda la diagnosi vi è una contraddizione agli atti. Il medico del SMR rileva una "distimia" senza indicare alcun riferimento oggettivo. Nel primo E 213 del 18 maggio 2010, il medico dell'INPS indica piuttosto un umore fortemente depresso (doc. 26, cifra 4.1) ed il Dott. Cesi, psichiatra, attesta il 14 ottobre 2010 un grave stato ansioso depressivo (doc. 27). Non si vede per quale motivo il Dott. Battaglia debba indicare una distimia. È vero che il Dott. Greco, psichiatra, nel rapporto del 16 maggio 2011, indica un umore "lievemente depresso" (doc. 33), ma il resto del suo rapporto fa stato di una situazione severa, cronica, ad incidenza funzionale di entità grave. Quanto estrapolato dal medico del SMR è dunque privo di fondamento oggettivo. Il medico del SMR afferma inoltre che l'assicurato è stato incapace di lavorare in misura rilevante solo per alcuni mesi, da maggio 2010 al 14 ottobre 2010, in seguito al decesso della moglie. Questa presa di posizione non trova neppure alcun riscontro attendibile.</w:t>
      </w:r>
    </w:p>
    <w:p>
      <w:r>
        <w:rPr>
          <w:b/>
        </w:rPr>
        <w:t>E. 9.3.2</w:t>
      </w:r>
    </w:p>
    <w:p>
      <w:r>
        <w:t>Il Dott. Battaglia aveva peraltro ritenuto utile fare allestire un'indagine psichiatrica più approfondita (cfr. rapporto del 1° marzo 2011, doc. 30). Il rapporto di esame psichiatrico pervenuto successivamente (doc. 33) non soddisfa a quelle esigenze dettate dalla giurisprudenza in materia di certificazione medica atta a fornire una valutazione affidabile circa le ripercussioni invalidanti di una determinata affezione (cfr. consid. 8.4). L'incarto non contiene alcuna perizia psichiatrica attendibile, ciò che rappresenta una marcata carenza dal momento che la patologia psichica sembra essere quella più determinante. Di regola, un rapporto psichiatrico, per assumere valore probante, deve contenere l'anamnesi dettagliata, l'evoluzione della malattia, lo stato attuale della malattia, diagnosi, prognosi, la durata ed il tipo di trattamento (con il dosaggio), la frequenza di eventuali sedute specialistiche. In modo specifico, il rapporto stesso dovrebbe fornire delle indicazioni sullo stato psichico (aspetto, atteggiamento, orientamento spazio-temporale, conservazione della memoria, capacità di concentrazione, facoltà di comprensione, d'interpretazione, di percezione), nonché tutti quei riscontri che permettono di individuare elementi di carattere patologico. Dei test psichiatrici sono a volte necessari. Queste ricerche appaiono indispensabili laddove la malattia psichica/mentale è data come la principale causa di uno stato d'invalidità.</w:t>
      </w:r>
    </w:p>
    <w:p>
      <w:r>
        <w:rPr>
          <w:b/>
        </w:rPr>
        <w:t>E. 9.3.3</w:t>
      </w:r>
    </w:p>
    <w:p>
      <w:r>
        <w:t>L'incarto presenta inoltre un'ulteriore lacuna. Quando si deve valutare l'invalidità di un assicurato che si trova in età avanzata e ormai prossima a quella che dà diritto ad una rendita dell'assicurazione svizzera per la vecchiaia, bisogna procedere ad un'analisi globale della situazione e domandarsi se, nella realtà, questo assicurato è in misura di accedere ad un'attività in un mercato del lavoro supposto equilibrato (SVR 2003 IV n. 35 consid. 2.3, sentenza del Tribunale federale I 500/06 del 30 agosto 2007 consid. 4.4 e sentenza del Tribunale federale 9C_612/2007 del 14 luglio 2008 consid. 5.1 con i riferimenti). Un'attività ragionevolmente esigibile ai sensi dell'art. 16 LPGA è da escludere quando questa sarebbe realizzabile solo in forma e con modalità talmente ristrette da non esistere in un mercato del lavoro equilibrato, oppure con delle condizioni/limitazioni mediche tali da rendere irreperibile un datore di lavoro. In una recente giurisprudenza, il Tribunale federale ha inoltre rilevato che il momento determinante per sapere se una persona può mettere a profitto la sua capacità di lavoro residua è quello in cui l'esigibilità di un'attività è constatata dal punto di vista medico (sentenza del Tribunale federale 9C_149/2011 del 25 ottobre 2012).</w:t>
      </w:r>
    </w:p>
    <w:p>
      <w:r>
        <w:rPr>
          <w:b/>
        </w:rPr>
        <w:t>E. 9.4</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w:t>
      </w:r>
    </w:p>
    <w:p>
      <w:r>
        <w:rPr>
          <w:b/>
        </w:rPr>
        <w:t>E. 10.1</w:t>
      </w:r>
    </w:p>
    <w:p>
      <w:r>
        <w:t>Ora, fatte queste considerazioni, il collegio giudicante si trova nell'impossibilità di determinare la misura dell'incapacità di lavoro e di guadagno subita dall'interessato e da quando questa modifica esisterebbe.</w:t>
      </w:r>
    </w:p>
    <w:p>
      <w:r>
        <w:rPr>
          <w:b/>
        </w:rPr>
        <w:t>E. 10.2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L'UAIE dovrà quindi completare l'istruttoria delucidando la situazione medica per il periodo dall'agosto 2009 (cessazione dell'attività lucrativa) fino alla data dell'impugnata decisione (19 settembre 2011). L'UAIE emanerà poi un nuovo provvedimento impugnabile. A tale fine il ricorrente dovrà essere sottoposto ad una perizia approfondita in neuropsichiatria ed a tutti quegli esami che il caso richiede. Un aggiornamento dello stato di salute generale appare pure necessario, in quanto A._______ presenta anche altre patologie. Se del caso, l'amministrazione effettuerà poi un'indagine comparativa dei redditi.</w:t>
      </w:r>
    </w:p>
    <w:p>
      <w:r>
        <w:rPr>
          <w:b/>
        </w:rPr>
        <w:t>E. 11.1</w:t>
      </w:r>
    </w:p>
    <w:p>
      <w:r>
        <w:t>Visto l'esito del ricorso, non vengono prelevate spese processuali. La domanda di esenzione dall'anticipo delle spese processuali diventa senza oggetto.</w:t>
      </w:r>
    </w:p>
    <w:p>
      <w:r>
        <w:rPr>
          <w:b/>
        </w:rPr>
        <w:t>E. 11.2</w:t>
      </w:r>
    </w:p>
    <w:p>
      <w:r>
        <w:t>In base all'art. 64 PA, l'autorità di ricorso, se ammette il ricorso in tutto o in parte, può assegnare al ricorrente un'indennità per le spese indispensabili e relativamente elevate che ha sopportato. Nel caso in esame, viste le memorie di ricorso e di replica, nonché la documentazione esibita, si giustifica riconoscere alla parte ricorrente un'indennità per spese ripetibili di 1'200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