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C-5552/2008 vom 30. August 2010</w:t>
      </w:r>
    </w:p>
    <w:p>
      <w:r>
        <w:t>Bundesverwaltungsgericht, 2010-08-30, FR</w:t>
      </w:r>
    </w:p>
    <w:p>
      <w:r>
        <w:rPr>
          <w:b/>
        </w:rPr>
        <w:t xml:space="preserve">Quelle: </w:t>
      </w:r>
      <w:r>
        <w:t>https://mcp.opencaselaw.ch/entscheid/bvger_C-5552_2008</w:t>
      </w:r>
    </w:p>
    <w:p>
      <w:r>
        <w:t>FR: TAF C-5552/2008 du 30 août 2010</w:t>
      </w:r>
    </w:p>
    <w:p>
      <w:r>
        <w:t>IT: TAF C-5552/2008 del 30 agosto 2010</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La décision litigieuse est datée du 24 juillet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le recourant a déposé une demande de prestations AI le 13 novembre 2007 auprès des autorités compétentes espagnoles. Cette date est déterminante conformément à l'art. 86 in fine du Règlement (CEE) n° 1408/71 qui prescrit que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Dans sa demande, le recourant se prévalait d'une atteinte à la santé ayant pris naissance en décembre 2005 et l'autorité inférieure reconnaît que le cas d'assurance est survenu une année plus tard (cf. art. 29 LAI en vigueur jusqu'au 31 décembre 2007). Les modifications de la 5e révision de la LAI ne sont pas pas applicables et les dispositions citées ci-après sont, sauf précision contraire, celles en vigueur jusqu'au 31 décembre 2007.</w:t>
      </w:r>
    </w:p>
    <w:p>
      <w:r>
        <w:rPr>
          <w:b/>
        </w:rPr>
        <w:t>E. 4</w:t>
      </w:r>
    </w:p>
    <w:p>
      <w:r>
        <w:t>Selon les normes en vigueur à l'époque,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la décision litigieuse se fonde sur l'avis de la Dresse H._______ de l'OAIE qui écarte la possibilité de reprise de l'activité de maçon mais retient qu'un travail léger, en station assise, est exigible à 70%. Le diagnostic médical retenu par ce médecin dans son rapport correspond à ce que les pièces du dossier révèlent. Au demeurant le recourant ne prétend pas que le tableau clinique est lacunaire, il ne produit pas non plus d'avis médical divergent susceptible de jeter un doute sur le bien-fondé de la position de la Dresse H._______. Certes, celle-ci n'a pris en compte le syndrome dépressif évoqué par le Dr G._______ dans le rapport du 26 mars 2008, mais outre que celui ne possède pas la qualification requise pour un tel diagnostic (cf. arrêt du Tribunal fédéral I 779/01 du 16 octobre 2002 consid. 4.1) et qu'il décrit ce syndrome comme étant réactif, le recourant ne s'en prévaut pas, si bien qu'il apparaît d'emblée qu'il n'est pas de nature invalidante. Le seul autre médecin qui évoque la capacité de travail résiduel du recourant est le Dr F._______ qui a établi l'expertise E213 en observant qu'une activité adaptée aux limitations médicales serait exigible à 100%, soit un taux supérieur à celui retenu finalement par l'autorité inférieure. Toute l'argumentation du recourant repose sur le fait que dans son pays une incapacité permanente totale pour sa profession habituelle lui a été reconnue. Or, il faut rappeler que seul le droit interne détermine les modalités de l'évaluation du taux d'invalidité (cf. supra consid. 3.1 et 3.4) qui est, selon le droit suisse, une notion juridico-économique. En d'autres termes, seules sont couvertes les pertes économiques (atteignant un certain seuil) liées à une atteinte à la santé physique ou psychique et non la maladie en tant que telle.</w:t>
      </w:r>
    </w:p>
    <w:p>
      <w:r>
        <w:rPr>
          <w:b/>
        </w:rPr>
        <w:t>E. 7.2</w:t>
      </w:r>
    </w:p>
    <w:p>
      <w:r>
        <w:t>En Espagne, la situation est toute différente. Il existe en effet quatre degrés d'invalidité permanente: a) l'incapacité permanente partielle pour la profession habituelle b) l'incapacité permanente totale pour la profession habituelle c) l'incapacité permanente absolue pour tout travail d) la grande invalidité (cf. articulos 137 del texto de la Ley general de la Seguridad Social, aprobado por el Real decreto legislativo 1/1994, de 20 de junio, consulté sur le site Internet http://www.derecho.com/l/boe/real-decreto-legislativo-1-1994-aprueba-texto-refundido-ley-general-seguridad-social le 15 juillet 2010). La rente octroyée en cas d'incapacité permanente totale pour la profession habituelle équivaut à 55% de la base de calcul (soit le salaire de référence) alors que celle allouée à titre d'incapacité permanente absolue se fonde sur 100% de la base de calcul. Au demeurant, la décision suisse litigieuse et la décision espagnole ne sont pas contradictoires, les deux admettant une incapacité totale dans l'ancienne activité; toutefois en droit suisse, ce constat - ainsi qu'il vient de l'être expliqué - n'est pas suffisant pour ouvrir le droit à une rente. En effet, en application d'un principe général valable en assurances sociales suisses, l'assuré a l'obligation de diminuer son dommage et doit entreprendre de son propre chef tout ce qu'on peut raisonnablement attendre de lui afin d'atténuer autant que possible les conséquences de son invalidité (ATF 130 V 97 consid. 3.2 avec les références).</w:t>
      </w:r>
    </w:p>
    <w:p>
      <w:r>
        <w:rPr>
          <w:b/>
        </w:rPr>
        <w:t>E. 7.3</w:t>
      </w:r>
    </w:p>
    <w:p>
      <w:r>
        <w:t>Il s'en suit que la Cour de céans ne voit aucun motif de s'écarter de la décision de l'autorité inférieure et admet qu'il est exigible que le recourant travaille à 70% dans une activité adaptée à ses limitations fonctionnelles.</w:t>
      </w:r>
    </w:p>
    <w:p>
      <w:r>
        <w:rPr>
          <w:b/>
        </w:rPr>
        <w:t>E. 8</w:t>
      </w:r>
    </w:p>
    <w:p>
      <w:r>
        <w:t>Il convient encore d'examiner la perte de gain que le recourant subirait dans l'exercice d'une activité exigible à 70%.</w:t>
      </w:r>
    </w:p>
    <w:p>
      <w:r>
        <w:rPr>
          <w:b/>
        </w:rPr>
        <w:t>E. 8.1.1</w:t>
      </w:r>
    </w:p>
    <w:p>
      <w:r>
        <w:t>Selon la méthode ordinaire, l'invalidité est évaluée en comparant le revenu que l'intéressé pourrait obtenir en exerçant une activité qu'on peut raisonnablement attendre (revenu d'invalide) sur un marché du travail équilibré avec le revenu qu'il aurait eu s'il n'était pas devenu invalide (revenu sans invalidité; jusqu'au 31 décembre 2002: art 28 al. 2 LAI; du 1er janvier au 31 décembre 2003: art. 1 al. 1 LAI en corrélation avec l'art. 16 LPGA; depuis le 1er janvier 2004 jusqu'au 31 décembre 2007: art. 28 al. 2 LAI en corrélation avec l'art. 16 LPGA; depuis le 1er janvier 2008 art. 28a al. 1 LAI).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TF I 175/04 du 28 janvier 2005 consid. 3; VSI 1999 p. 247 consid. 1; Pratique VSI 1998 p. 296 consid. 3b).</w:t>
      </w:r>
    </w:p>
    <w:p>
      <w:r>
        <w:rPr>
          <w:b/>
        </w:rPr>
        <w:t>E. 8.1.2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28a al. 1 LAI dans la mesure où elle n'est possible que sous une forme tellement restreinte que le marché du travail général ne la connaît pratiquement pas ou qu'à la condition de concessions irréalistes de la part d'un employeur (RCC 1991 p. 332 consid. 3b, 1989 p. 331 consid. 4a).</w:t>
      </w:r>
    </w:p>
    <w:p>
      <w:r>
        <w:rPr>
          <w:b/>
        </w:rPr>
        <w:t>E. 8.2.1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w:t>
      </w:r>
    </w:p>
    <w:p>
      <w:r>
        <w:rPr>
          <w:b/>
        </w:rPr>
        <w:t>E. 8.2.2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TF I 383/06 du 5 avril 2007 consid. 4.4) ou qu'il aurait pu obtenir, d'où la nécessité pour effectuer la comparaison des salaires de se référer à des données statistiques.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I 383/06 du 5 avril 2007 consid. 4.4).</w:t>
      </w:r>
    </w:p>
    <w:p>
      <w:r>
        <w:rPr>
          <w:b/>
        </w:rPr>
        <w:t>E. 8.2.3</w:t>
      </w:r>
    </w:p>
    <w:p>
      <w:r>
        <w:t>Dans le cas particulier, la décision litigieuse se fonde à juste titre, en application de la jurisprudence précitée, sur les données résultant de l'ESS 2006 et fixe le revenu sans invalidité du recourant à Fr. 5'422.-- ce qui équivaut au salaire auquel peuvent prétendre les hommes au bénéfice de connaissances professionnelles spécialisées (niveau de qualification 3) dans la construction. Le niveau de qualification professionnelle retenu est contestable du moment qu'il ressort du dossier que le recourant ne peut se targuer d'aucune formation professionnelle. Toutefois, il semble avoir assumé des tâches de direction dans son dernier travail ("oficial 1er albanil") si bien qu'il n'est pas insoutenable de le retenir ce d'autant plus qu'une comparaison des revenus avec les données afférentes au niveau de qualification 4 dans la construction ne modifierait pas le résultat final. Les salaires bruts standardisés se basent sur un horaire de travail de 40 heures, soit une durée hebdomadaire inférieure à la moyenne usuelle dans ce secteur en 2006 (41,7 heures, cf. OFS, durée normale du travail dans les entreprises selon la division économique, en heures par semaine, T. 03.02.04.19), ce salaire hypothétique de Fr. 5'422.-- doit donc encore être adapté et s'élève en fait à Fr. 5'652.44.</w:t>
      </w:r>
    </w:p>
    <w:p>
      <w:r>
        <w:rPr>
          <w:b/>
        </w:rPr>
        <w:t>E. 8.2.4</w:t>
      </w:r>
    </w:p>
    <w:p>
      <w:r>
        <w:t>Eu égard à la jurisprudence précédemment exposée, le revenu d'invalide doit également se fonder sur des valeurs statistiques. Il y a alors lieu de se rapporter à la valeur médiane ou valeur centrale afférente aux salaires bruts standardisés (ATF 124 V 321 consid. 3b/bb) et non à des chiffres tirés de secteurs d'activité particuliers (cf. arrêt du TF I 392/06 du 13 mars 2007 consid. 6.2). En l'espèce, et contrairement à ce que retient l'autorité, il doit donc être déterminé en fonction de ce que peuvent prétendre les hommes exerçant une activité simple et répétitive dans le secteur privé (valeur médiane ou centrale), dont un nombre suffisant est adapté aux limitations fonctionnelles du recourant (Fr. 4'732.-, cf ESS 2006 tableau TA 1, niveau de qualification 4). Adapté à l'horaire de travail hebdomadaire moyenne en 2006 (41,7 heures, cf. tableau précité), ce salaire s'élève à Fr. 4'933.11.</w:t>
      </w:r>
    </w:p>
    <w:p>
      <w:r>
        <w:rPr>
          <w:b/>
        </w:rPr>
        <w:t>E. 8.2.5</w:t>
      </w:r>
    </w:p>
    <w:p>
      <w:r>
        <w:t>Comme le recours aux salaires de l'ESS ne permet pas une appréciation très fine en fonction des groupes de professions particuliers ou des régions de travail, la jurisprudence permet de réduire le revenu hypothétique d'invalide, tel qu'il résulte des statistiques, afin de tenir compte du fait que les possibilités pour l'assuré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130 V 393 consid. 3.3, ATF 126 V 75 consid. 6, ATF 123 V 150 consid. 2 et les références). En l'espèce, l'OAIE a consenti un abattement de 10 % sur le revenu d'invalide de l'assurée pour tenir compte des circonstances personnelles et professionnelles du cas. Bien que l'autorité aurait dû préciser les facteurs retenus, on comprend qu'il s'agit essentiellement en l'espèce du fait que le recourant a dû renoncer à l'exercice d'une activité lourde, profession qu'il pratiquait depuis longtemps et ne peut plus qu'exercer une activité de type léger. Cette argumentation n'est pas insoutenable, il n'y a donc pas lieu de s'en écarter. Le salaire d'invalide est donc fixé à Fr 4'439.79, ce qui correspond, pour un activité à 70% à Fr. 3107.85.</w:t>
      </w:r>
    </w:p>
    <w:p>
      <w:r>
        <w:rPr>
          <w:b/>
        </w:rPr>
        <w:t>E. 8.2.6</w:t>
      </w:r>
    </w:p>
    <w:p>
      <w:r>
        <w:t>Le calcul comparatif des revenus fait apparaître un préjudice économique de 45 % (Fr. 5'652.44-3'107.85 X 100 / 5'652.44) une fois arrondi au pour-cent inférieur (ATF 130 V 122 consid. 3.2), pour une activité exigible à 70%, ce qui ouvre le droit à un quart de rente.</w:t>
      </w:r>
    </w:p>
    <w:p>
      <w:r>
        <w:rPr>
          <w:b/>
        </w:rPr>
        <w:t>E. 9</w:t>
      </w:r>
    </w:p>
    <w:p>
      <w:r>
        <w:t>Au vu de ce qui précède, le recours doit être rejeté et la décision du 24 juillet 2008 confirmée.</w:t>
      </w:r>
    </w:p>
    <w:p>
      <w:r>
        <w:rPr>
          <w:b/>
        </w:rPr>
        <w:t>E. 9.1</w:t>
      </w:r>
    </w:p>
    <w:p>
      <w:r>
        <w:t>La procédure de recours en matière de contestations portant sur l'octroi ou le refus de prestations de l'AI devant le Tribunal administratif fédéral est onéreuse (cf. art. 69 al. 2 LAI). Le recourant, qui succombe, doit donc s'acquitter des frais de justice fixés, compte tenu de la charge liée à la procédure, à Fr. 400.-- (art. 63 al. 1 règlement du 21 février 2008 concernant les frais, dépens et indemnités fixés par le Tribunal administratif fédéral [FITAF, RS 173.320.2]). Ils sont compensés par l'avance de frais déjà versée de Fr. 400.-.</w:t>
      </w:r>
    </w:p>
    <w:p>
      <w:r>
        <w:rPr>
          <w:b/>
        </w:rPr>
        <w:t>E. 9.2</w:t>
      </w:r>
    </w:p>
    <w:p>
      <w:r>
        <w:t>Compte tenu de l'issu du litige, 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