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C-5548/2013 vom 23. Januar 2014</w:t>
      </w:r>
    </w:p>
    <w:p>
      <w:r>
        <w:t>Bundesverwaltungsgericht, 2014-01-23, DE</w:t>
      </w:r>
    </w:p>
    <w:p>
      <w:r>
        <w:rPr>
          <w:b/>
        </w:rPr>
        <w:t xml:space="preserve">Quelle: </w:t>
      </w:r>
      <w:r>
        <w:t>https://mcp.opencaselaw.ch/entscheid/bvger_C-5548_2013</w:t>
      </w:r>
    </w:p>
    <w:p>
      <w:r>
        <w:t>FR: TAF C-5548/2013 du 23 janvier 2014</w:t>
      </w:r>
    </w:p>
    <w:p>
      <w:r>
        <w:t>IT: TAF C-5548/2013 del 23 gennaio 2014</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Beschwerdeführerin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sowie BVGE 2011/1 E. 2). 3.Der angefochtenen Verfügung liegt das Gesuch eines philippinischen Staatsangehörigen um Erteilung eines Visums für einen dreimonatigen Aufenthalt in der Schweiz zugrunde. Da sich der Gesuchsteller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 Abs. 5 AuG). 4.Die Voraussetzungen für die Erteilung eines Visums präsentieren sich im Anwendungsbereich der vorerwähnten Rechtsgrundlagen wie folgt: 4.1 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 4.2 Bürger von Drittstaaten dürfen über die Aussengrenzen des Schen­gen-Raums für einen Aufenthalt von höchstens 90 Tagen je Zeitraum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 4.3 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 4.4 Eine Gefahr für die öffentliche Ordnung im Sinne von Art. 5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 4.5 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 5.5.1 Aufgrund seiner philippinischen Staatsangehörigkeit unterliegt der Gesuchsteller der Visumspflicht (vgl. Anhang I zur Verordnung (EG) Nr. 539/2001 des Rates vom 15. März 2001). Bei der Prüfung der Einreisevoraussetzungen nach Art. 5 Abs. 1 SGK steht die Frage der gesicherten Wiederausreise im Vordergrund. Eine solche erachtet die Vorinstanz aufgrund der allgemeinen Situation im Heimatland und der persönlichen Verhältnisse des Gesuchstellers als nicht genügend gesichert. Zur Einschätzung entsprechender Risiken sind sämtliche Umstände des konkreten Einzelfalles zu würdigen. 5.2 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 6.6.1 Trotz der grundsätzlich positiven wirtschaftlichen Entwicklung in den Philippinen sind dort nach wie vor breite Bevölkerungsschichten von kargen ökonomischen und sozialen Lebensbedingungen betroffen (Quelle: Webseite des deutschen Auswärtigen Amtes: www.auswaertiges-amt.de, Aussen- und Europapolitik &gt; Länderinformationen &gt; Länder A-Z &gt; Philippinen &gt; Wirtschaft, Stand: April 2013 &gt; Seite besucht im Januar 2014). 6.2 Im Falle der Schweiz wird die Tendenz zur Immigration erfahrungs­ge­mäss dort noch begünstigt, wo durch die Anwesenheit von Verwandten oder Freunden bereits ein minimales soziales Beziehungsnetz besteht. An­gesichts der restriktiven Zulassungsregelung werden dabei nicht selten ausländerrechtliche Bestimmungen umgangen, indem versucht wird, den Aufenthalt - einmal eingereist - auf eine ganz andere rechtliche oder fakti­sche Basis zu stellen und sich so der Pflicht zur Wiederausreise zu ent­ziehen. Solche Umstände und Erfahrungen sind beim Entscheid über die Erteilung eines Visums zu berücksichtigen. 6.3 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Beim Gesuchsteller handelt es sich um einen bald 44-jährigen alleinstehenden Mann, der zwar während eines Jahres in Taiwan gearbeitet hat, jedoch noch nie in Europa war. In casu sind aufgrund der erhaltenen Auskünfte keine besonderen familiären und gesellschaftlichen Verpflichtungen ersichtlich, welche den Gesuchsteller von einer Emigration abzuhalten vermögen.</w:t>
      </w:r>
    </w:p>
    <w:p>
      <w:r>
        <w:rPr>
          <w:b/>
        </w:rPr>
        <w:t>E. 7.2</w:t>
      </w:r>
    </w:p>
    <w:p>
      <w:r>
        <w:t>Die Beschwerdeführerin macht in wirtschaftlicher Hinsicht geltend, dem Gesuchsteller gehöre zusammen mit seiner Familie eine Farm. Diese würde er gemeinsam mit seinem jüngsten Bruder und seiner Familie bewirtschaften. Er sei somit Eigentümer und Arbeitgeber und nicht lediglich ein Angestellter. Seine anderen Geschwister hätten eigene Jobs. Der Gesuchsteller gab bei der Schweizerischen Botschaft in Manila an, er verdiene monatlich 15'000.-- Philippinische Peso. Dieser Betrag entspricht ca. SFR 300.--. Einem Bankkontoauszug des Gesuchstellers ist zu entnehmen, dass er am 19. Juli 2013 über einen Betrag von rund 240'000.-- Philippinische Peso verfügte. Umgerechnet in Schweizer Franken ergibt dies SFR rund 4'800.--. Die Beschwerdeführerin hat dem Gesuchsteller am 15. Mai und 6. Juni 2013 insgesamt Fr. 4'700.-- überwiesen. Es kann somit davon ausgegangen werden, dass der Beschwerdeführer über keine Ersparnisse verfügt und sein Einkommen gerade knapp für seine Lebenshaltungskosten ausreicht. Da er beabsichtigt, während rund drei Monaten in der Schweiz zu verweilen, kann er offenbar ohne Weiteres während längerer Zeit von der Arbeit fern bleiben. Seine Eltern und sein jüngster Bruder sind wohl nicht zwingend auf seine Hilfe beim Kultivieren des Landes angewiesen. Damit bestehen insgesamt in der Heimat keine zwingenden wirtschaftlichen Verpflichtungen, welche hinreichende Gewähr für eine fristgerechte Wiederausreise bieten könnten.</w:t>
      </w:r>
    </w:p>
    <w:p>
      <w:r>
        <w:rPr>
          <w:b/>
        </w:rPr>
        <w:t>E. 7.3</w:t>
      </w:r>
    </w:p>
    <w:p>
      <w:r>
        <w:t>Vor dem allgemeinen und persönlichen Hintergrund durfte die Vorinstanz demnach davon ausgehen, dass keine hinreichende Gewähr für eine fristgerechte und anstandslose Wiederausreise des Gesuchstellers nach seinem Besuchsaufenthalt besteht. Zwar lässt sich diese Prognose nicht zu einer gesicherten Feststellung verdichten; sie genügt jedoch, um die Erteilung einer Einreisebewilligung, auf welche ohnehin kein Rechtsanspruch besteht, abzulehnen.</w:t>
      </w:r>
    </w:p>
    <w:p>
      <w:r>
        <w:rPr>
          <w:b/>
        </w:rPr>
        <w:t>E. 8</w:t>
      </w:r>
    </w:p>
    <w:p>
      <w:r>
        <w:t>An der Richtigkeit dieser Einschätzung ändert auch die Tatsache nichts, dass die Beschwerdeführerin über einen ausgezeichneten Leumund verfügt. Es wird auch nicht die Integrität der Beschwerdeführerin in ihrer Eigenschaft als Gastgeberin in Zweifel gezogen. Indessen sind bei der Abwägung des Risikos einer nicht fristgerechten Wiederausreise nicht so sehr die Einstellung und die Ab­sichten des Gastgebers, sondern in erster Linie das mögliche Verhalten des Gastes selbst von Bedeutung. Nur Letzterer ist in der Lage, hinrei­chend Ge­währ für eine fristgerechte und anstandslo­se Wiederausreise zu bie­ten. Der Gastgeber kann denn auch nicht - mangels rechtlicher und fak­tischer Durchsetzbar­keit - für ein be­stimmtes Verhalten des Gastes Garantie leisten (vgl. BVGE 2009/27 E. 9). 9.Vor dem aufgezeigten Hintergrund durfte die Vorinstanz demnach davon ausgehen, dass keine hinreichende Gewähr für eine fristgerechte und anstandslose Wiederausreise des Gesuchstellers nach einem Besuchsaufenthalt besteht. Mit der fehlenden Gewähr dafür ist eine zwingende Voraussetzung zur Erteilung eines Schengen-Visums nicht erfüllt. Gründe für die Ausstellung eines Visums mit räumlich beschränkter Gültigkeit (vgl. dazu E. 4.5 hiervor) werden nicht vorgebracht und liegen auch nicht vor. 10.Aus vorstehenden Erwägungen folgt, dass die angefochtene Verfügung im Lichte von Art. 49 VwVG nicht zu beanstanden ist. Die Beschwerde ist daher abzuweisen. 11.Entsprechend dem Ausgang des Verfahrens wird die unter­liegende Be­schwerdeführerin kostenpflichtig (Art. 63 Abs. 1 VwVG). Die Ver­fahrenskos­ten sind auf Fr. 800.- festzusetzen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