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C-5546/2012 vom 15. Januar 2013</w:t>
      </w:r>
    </w:p>
    <w:p>
      <w:r>
        <w:t>Bundesverwaltungsgericht, 2013-01-15, DE</w:t>
      </w:r>
    </w:p>
    <w:p>
      <w:r>
        <w:rPr>
          <w:b/>
        </w:rPr>
        <w:t xml:space="preserve">Quelle: </w:t>
      </w:r>
      <w:r>
        <w:t>https://mcp.opencaselaw.ch/entscheid/bvger_C-5546_2012</w:t>
      </w:r>
    </w:p>
    <w:p>
      <w:r>
        <w:t>FR: TAF C-5546/2012 du 15 janvier 2013</w:t>
      </w:r>
    </w:p>
    <w:p>
      <w:r>
        <w:t>IT: TAF C-5546/2012 del 15 gennaio 2013</w:t>
      </w:r>
    </w:p>
    <w:p>
      <w:pPr>
        <w:pStyle w:val="Heading2"/>
      </w:pPr>
      <w:r>
        <w:t>Regeste</w:t>
      </w:r>
    </w:p>
    <w:p>
      <w:r>
        <w:t>Rente</w:t>
      </w:r>
    </w:p>
    <w:p>
      <w:pPr>
        <w:pStyle w:val="Heading2"/>
      </w:pPr>
      <w:r>
        <w:t>Erwägungen</w:t>
      </w:r>
    </w:p>
    <w:p>
      <w:r>
        <w:rPr>
          <w:b/>
        </w:rPr>
        <w:t>E. 1</w:t>
      </w:r>
    </w:p>
    <w:p>
      <w:r>
        <w:t>Die Beschwerde wird gutheissen. Der Beschwerdeführerin wird mit Wirkung ab 1. Januar 2012 eine Hinterlassenenrente von monatlich Fr. 464.- zugesprochen.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(Zustellung via EDA bzw. Schweizerische Botschaft in Kosovo) - die Vorinstanz (Ref-Nr. _______) - das Bundesamt für Sozialversicherungen Für die Rechtsmittelbelehrung wird auf die nächste Seite verwiesen. Der vorsitzende Richter: Die Gerichtsschreiberin: Michael Peterli Susanne Fankhauser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