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C-5540/2010 vom 11. Februar 2013</w:t>
      </w:r>
    </w:p>
    <w:p>
      <w:r>
        <w:t>Bundesverwaltungsgericht, 2013-02-11, DE</w:t>
      </w:r>
    </w:p>
    <w:p>
      <w:r>
        <w:rPr>
          <w:b/>
        </w:rPr>
        <w:t xml:space="preserve">Quelle: </w:t>
      </w:r>
      <w:r>
        <w:t>https://mcp.opencaselaw.ch/entscheid/bvger_C-5540_2010</w:t>
      </w:r>
    </w:p>
    <w:p>
      <w:r>
        <w:t>FR: TAF C-5540/2010 du 11 février 2013</w:t>
      </w:r>
    </w:p>
    <w:p>
      <w:r>
        <w:t>IT: TAF C-5540/2010 del 11 febbraio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des Bundesgesetzes vom 6. Oktober 2000 über den Allgemeinen Teil des Sozialversicherungsrechts [ATSG, SR 830.1] und Art. 52 Abs. 1 VwVG). Als Adressat der angefochtenen Verfügung vom 1. Juli 2010 (act. 50)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1. Juli 2010 (act. 50), mit welcher bei einem IV-Grad von 17 % der Anspruch des Beschwerdeführers auf eine IV-Rente verneint worden ist. Streitig und zu prüfen ist die Rechtmässigkeit dieser Verfügung und in diesem Zusammenhang insbesondere, ob die Vorinstanz den Sachverhalt rechtsgenüglich abgeklärt und gewürdigt hat (zum massgeblichen zeitlichen Vergleichszeitpunkt vgl. E. 2.6 und 3.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demnach grundsätzlich jene Vor­schriften Anwendung, die im Zeitpunkt des Erlasses der angefochtenen Verfügung vom 1. Juli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2.6</w:t>
      </w:r>
    </w:p>
    <w:p>
      <w:r>
        <w:t>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und 3.2.3 mit Hinweisen; AHI 1999 S. 84 E. 1b). In Anwendung dieser Rechtsprechung beurteilt sich die Frage, ob beim Beschwerdeführer eine wesentliche Änderung eingetreten ist, welche geeignet ist, den IV-Grad und damit den Rentenanspruch im Sinne von Art. 17 ATSG zu beeinflussen, durch Vergleich des Sachverhaltes, wie er zur Zeit der unangefochten in Rechtskraft erwachsenen Verfügung vom 10. April 2008 (act. 21; siehe auch act. 22 und 23) bestanden hatte, mit demjenigen, wie er im Zeitpunkt der vorliegend angefochtenen Verfügung vom 1. Juli 2010 (act. 50) eingetreten war.</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Im Rahmen der Verfügung vom 10. April 2008 stützte sich die Vorinstanz insbesondere auf die Stellungnahme von Dr. med. A._______, Facharzt für Orthopädische Chirurgie und Traumatologie des Bewegungsapparates, vom 23. Dezember 2007 (act. 15). Dr. med. A._______ diagnostizierte - in Kenntnis des auf dem Formular E 213 erstellten Arztberichts vom 8. Juni 2007 (act. 12) - zur Hauptsache eine Arthrose in den Ellbogen und eine Epicondylitis beidseits. Er attestierte dem Versicherten in seiner zuletzt ausgeübten Tätigkeit als Schrotthändler eine 60%ige Arbeitsunfähigkeit ab dem 26. April 2006 und ab demselben Datum eine volle Arbeits- resp. Leistungsfähigkeit in einer leidensadaptierten Verweisungstätigkeit.</w:t>
      </w:r>
    </w:p>
    <w:p>
      <w:r>
        <w:rPr>
          <w:b/>
        </w:rPr>
        <w:t>E. 3.2</w:t>
      </w:r>
    </w:p>
    <w:p>
      <w:r>
        <w:t>Im Rahmen des Erlasses der angefochtenen Verfügung vom 1. Juli 2010 stützte sich die Vorinstanz in erster Linie auf die von Dr. med. A._______ vom medizinischen Dienst am 5. Februar 2010 verfasste Stellungnahme (act. 45), welche auf dem am 1. Juni 2009 auf dem Formular E 213 erstellten Arztbericht und den darin erwähnten medizinischen Dokumenten basierte (act. 31). Dr. med. A._______ diagnostizierte zur Hauptsache Arthrosebeschwerden in beiden Ellbogen, eine Epicondylitis, lumbale degenerative Beeinträchtigungen mit einer Diskushernie und moderate funktionelle Probleme sowie - mit zusätzlichen Auswirkungen auf die Arbeitsfähigkeit - cervikale degenerative Beschwerden. Er attestierte dem Versicherten ab dem 26. April 2006 eine 60%ige und ab dem 3. Juni 2008 eine 70%ige Arbeitsunfähigkeit in der zuletzt ausgeübten Tätigkeit und hielt dafür, dass in einer leidensangepassten Verweisungstätigkeit seit 26. April 2006 keine Arbeits- resp. Leistungsunfähigkeit bestünde. Weiter führte er aus, die Dokumentation von 2008 zeige eine signifikante lumbale Verletzung der Wirbelsäule mit einer funktionellen Beeinträchtigung. Es existiere auch eine leichtere cervikale Schädigung. Diese Beeinträchtigungen, welche im Jahre 2007 nicht erwähnt worden seien, hätten seit 2008 eine Arbeitsunfähigkeit als Schrotthändler von 70 % zur Folge. In einer leichteren Verweisungstätigkeit existiere keine Arbeitsunfähigkeit.</w:t>
      </w:r>
    </w:p>
    <w:p>
      <w:r>
        <w:rPr>
          <w:b/>
        </w:rPr>
        <w:t>E. 3.3.1</w:t>
      </w:r>
    </w:p>
    <w:p>
      <w:r>
        <w:t>Bei der Stellungnahme von Dr. med. A._______ vom 5. Februar 2010 handelt es sich um einen Bericht im Sinne von Art. 59 Abs. 2bis IVG, dem nicht jegliche Aussen- oder Beweiswirkung abgesprochen werden kann; vielmehr ist dieser ein entscheidrelevantes Aktenstück (vgl. hierzu Urteil I 143/07 des BGer vom 14. September 2007 E. 3.3 mit Hinweisen; vgl. auch Urteil I 694/05 des EVG vom 15. Dezember 2006 E. 5). Wie bereits dargelegt wurde (vgl. E. 2.7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Dr. med. A._______ verfügt über einen Facharzttitel in der medizinischen Disziplin Orthopädische Chirurgie und Traumatologie des Bewegungsapparates, weshalb seiner Stellungnahme volle Beweiskraft zukommen kann, wenn die übrigen, von der bundesgerichtlichen Rechtsprechung herausgearbeiteten Kriterien erfüllt sind. Daran besteht im vorliegenden Fall kein Zweifel.</w:t>
      </w:r>
    </w:p>
    <w:p>
      <w:r>
        <w:rPr>
          <w:b/>
        </w:rPr>
        <w:t>E. 3.3.2</w:t>
      </w:r>
    </w:p>
    <w:p>
      <w:r>
        <w:t>Obwohl die Stellungnahme vom 5. Februar 2010 vom Umfang her eher etwas knapp ausgefallen ist, erfüllt sie die an den Beweiswert eines ärztlichen Berichts gestellten Kriterien. Sie berücksichtigt einerseits die Leiden des Versicherten und wurde in Kenntnis der Vorakten abgegeben, andererseits sind die Beurteilung der medizinischen Situation und die Schlussfolgerungen nachvollziehbar begründet. Demnach lässt sich der gesundheitliche Zustand des Beschwerdeführers und dessen Auswirkungen auf die Arbeits- und Leistungsfähigkeit im massgeblichen Verfügungszeitpunkt vom 1. Juli 2010 schlüssig und zuverlässig beurteilen (vgl. BGE 125 V 353 E. 3b/bb; vgl. zum Ganzen auch E. 2.7 hiervor). Auf das Einholen von weiteren Berichten entsprechend ausgebildeter Spezialärztinnen und -ärzte konnte - entgegen der Auffassung des Beschwerdeführers - unter diesen Umständen verzichtet werden (zur antizipierten Beweiswürdigung vgl. BGE 122 V 157 E. 1d; SVR 2005 IV Nr. 8 S. 37 E. 6.2, 2003 AHV Nr. 4 S. 11 E. 4.2.1). Es ist somit davon auszugehen, dass der Beschwerdeführer in seiner zuletzt ausgeübten Erwerbstätigkeit ab 26. April 2006 zu 60 % resp. ab 3. Juni 2008 zu 70 % arbeitsunfähig und in einer leidensadaptierten Verweisungstätigkeit ab 26. April 2006 vollständig arbeits- resp. leistungsfähig ist.</w:t>
      </w:r>
    </w:p>
    <w:p>
      <w:r>
        <w:rPr>
          <w:b/>
        </w:rPr>
        <w:t>E. 3.3.3</w:t>
      </w:r>
    </w:p>
    <w:p>
      <w:r>
        <w:t>Die Auffassung von Dr. med. A._______ vom 5. Februar 2010 steht mit derjenigen auf dem Formular E 213 am 1. Juni 2009 verfassten in Übereinstimmung. So war auch die beurteilende Ärztin Dr. med. B._______ der Überzeugung, dass der Beschwerdeführer in einer seinen Leiden angepassten Verweisungstätigkeit vollständig arbeitsfähig ist. Dass Dr. med. A._______ - im Gegensatz zu Dr. med. B._______ - eine Restarbeitsfähigkeit in der zuletzt ausgeübten Erwerbstätigkeit angenommen hatte, vermag keinen Widerspruch zu begründen, da die Beurteilung von Dr. med. B._______ offensichtlich mit Blick auf die Rechtsvorschriften des Wohnlandes Spanien abgegeben worden war (vgl. act. 31 Ziff. 11.7). Hinzu kommt, dass sowohl aufgrund einer 100%igen als auch einer 70%igen Arbeitsunfähigkeit kein rentenausschliessendes Einkommen erzielt werden kann resp. sich die Durchführung eines bezifferten Einkommensvergleichs so oder so nicht erübrigt (zum Verzicht auf einen bezifferten Einkommensvergleich vgl. bspw. Entscheid I 816/05 des EVG vom 7. Juni 2006, E. 4.3 mit Hinweisen; zur Zulässigkeit des Prozentvergleichs siehe auch Urteil des BGer 9C_785/2009 vom 2. Dezember 2009 E. 2.2 mit Hinweisen auf BGE 114 V 310 E. 3a; 104 V 135 E. 2b).</w:t>
      </w:r>
    </w:p>
    <w:p>
      <w:r>
        <w:rPr>
          <w:b/>
        </w:rPr>
        <w:t>E. 3.3.4</w:t>
      </w:r>
    </w:p>
    <w:p>
      <w:r>
        <w:t>Zu keinem anderen Ergebnis führt der Umstand, dass Dr. med. A._______ die von Dr. med. C._______ aufgeführten Diagnosen nicht im Detail wiedergegeben hat. Dass er den Bericht von Dr. med. C._______ vom 10. Juni 2008 (act. 30) sowie denjenigen betreffend die am 3. Juni 2008 durchgeführte Magnetresonanztomographie (act. 29) gewürdigt hatte, ergibt sich aus seinen Äusserungen, wonach die Verschlechterung der Arbeitsfähigkeit von 60 % auf 70 % ab dem 3. Juni 2008 - dem Datum der Magnetresonanztomographie - Bestand habe. Darüber hinaus wurden diese medizinischen Dokumente auch von Dr. med. B._______ in deren Bericht vom 1. Juni 2009 - welcher Dr. med. A._______ zur Verfügung stand und welcher ihm zu grossen Teilen als Basis seiner Stellungnahme vom 5. Februar 2010 gedient hatte - nicht ausser Acht gelassen; Dr. med. B._______ erwähnte vielmehr explizit die von Dr. med. C._______ eruierten Resultate (act. 31 Ziff. 6). Vor diesem Hintergrund ist die von den Dres. med. A._______ und B._______ abweichende Beurteilung von Dr. med. C._______, der Versicherte sei in jeglicher wirtschaftlicher Erwerbstätigkeit - und somit auch in leidensadaptierten Verweisungstätigkeiten - zu 85% arbeitsunfähig, nicht nachvollziehbar resp. schlüssig begründet.</w:t>
      </w:r>
    </w:p>
    <w:p>
      <w:r>
        <w:rPr>
          <w:b/>
        </w:rPr>
        <w:t>E. 3.4</w:t>
      </w:r>
    </w:p>
    <w:p>
      <w:r>
        <w:t>Wie der Beschwerdeführer richtig ausgeführt hat, bestimmt sich sein Rentenanspruch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Bundesverwaltungsgerichts C-6398/2009 vom 18. Mai 2012 E. 2.1 mit Hinweis auf Entscheid des EVG vom 11. De­zember 1981 i.S. D.; zum Grundsatz der freien Beweiswürdigung vgl. BGE 125 V 351 E. 3a). Aus dem Umstand, dass der Beschwerdeführer vom spanischen Sozialversicherungsträger mit Wirkung ab 21. Juni 2007 eine IV-Rente zugesprochen erhalten hatte, kann er im Zusammenhang mit dem Anspruch auf eine schweizerische Rente nichts zu seinen Gunsten ableiten.</w:t>
      </w:r>
    </w:p>
    <w:p>
      <w:r>
        <w:rPr>
          <w:b/>
        </w:rPr>
        <w:t>E. 4</w:t>
      </w:r>
    </w:p>
    <w:p>
      <w:r>
        <w:t>Hinsichtlich der Bemessung der Invalidität ergibt sich Folgendes:</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Weder die Einführung des ATSG noch die 4. IV-Revision haben daran etwas geändert (BGE 130 V 343 E. 3.4.2; RKUV 2004 U 529 S. 574 E. 1.2; statt vieler: Entscheid I 117/06 des EVG vom 23. Mai 2006, E. 2). Bezüglich der Anpassung an die Lohnentwicklung ist nach Geschlechtern zu differenzieren, d.h. es ist auf den Lohnindex für Frauen oder Männer abzustellen (BGE 129 V 408).</w:t>
      </w:r>
    </w:p>
    <w:p>
      <w:r>
        <w:rPr>
          <w:b/>
        </w:rPr>
        <w:t>E. 4.2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 Lässt sich - wie im vorliegenden Fall -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4.3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4.4</w:t>
      </w:r>
    </w:p>
    <w:p>
      <w:r>
        <w:t>Die Vorinstanz hat gestützt auf die rechtsgenügliche Beurteilung von Dr. med. A._______ vom 5. Februar 2010 am 2. März 2010 einen Einkommensvergleich erstellt und einen IV-Grad von 17.26% ermittelt (act. 46). Da mit Blick auf die schlüssige und voll beweiskräftige Stellungnahme von Dr. med. A._______ vom 5. Februar 2010 der frühest mögliche Rentenbeginn im April 2007 wäre, hätte die Vorinstanz im Rahmen der Ermittlung der beiden hypothetischen Vergleichseinkommen an sich den Tabellenlohn der LSE 2006 beiziehen und diesen der Nominallohnentwicklung von 2006 auf 2007 anpassen sollen. Da jedoch die Verwendung des Tabellenlohns der LSE 2008 am Ergebnis nichts ändert, können ohne weiteres diese Werte als Grundlage dienen.</w:t>
      </w:r>
    </w:p>
    <w:p>
      <w:r>
        <w:rPr>
          <w:b/>
        </w:rPr>
        <w:t>E. 4.4.1</w:t>
      </w:r>
    </w:p>
    <w:p>
      <w:r>
        <w:t>Der Tabellenlohn der LSE 2008 für Männer im Wirtschaftszweig Metallbe- und -verarbeitung im Anforderungsniveau 4 beträgt Fr. 4'949.- pro Monat (vgl. www.bfs.admin.ch Themen Arbeit, Erwerb Publikationskatalog die schweizerische Lohnstrukturerhebung 2008, Tabelle TA1, Ziff. 27/28, S. 26; zuletzt besucht am 8. Januar 2013). Unter Berücksichtigung der durchschnittlichen wöchentliche Arbeitszeit von 41.4 Stunden ergibt sich ein hypothetisches Valideneinkommen von Fr. 5'122.22 (vgl. www.bfs.admin.ch &gt; &gt; Themen &gt; Arbeit, Er­werb &gt; Erwerbstätigkeit und Arbeitszeit &gt; detaillierte Daten &gt; Statistik der betriebsüblichen Arbeits­zeit &gt; Be­triebsübliche Arbeitszeit nach Wirtschaftsabteilungen, in Stun­den pro Woche 1990-2011, Wirtschaftszweig Ziff. 24 bis 25 [vormals Ziff. 28 und 41.5 Stunden]; zuletzt besucht am 14. Januar 2013).</w:t>
      </w:r>
    </w:p>
    <w:p>
      <w:r>
        <w:rPr>
          <w:b/>
        </w:rPr>
        <w:t>E. 4.4.2</w:t>
      </w:r>
    </w:p>
    <w:p>
      <w:r>
        <w:t>Zu keinen Beanstandungen Anlass gibt auch das ermittelte hypothetische Invalideneinkommen von Fr. 4'806.- pro Monat (LSE 2008, Tabelle TA1, Totalwert, Männer, Anforderungsniveau 4; vgl. www.bfs.admin.ch &gt; Themen &gt; Arbeit, Erwerb &gt; Publikationskatalog &gt; die schweizerische Lohnstrukturerhebung 2008, Tabelle TA1, Totalwert, S. 26; zuletzt besucht am 8. Januar 2013). Unter Umrechnung dieses Einkommens auf die betriebsübliche wöchentliche Arbeitszeit im Jahre 2008 von 41.6 Wochenstunden (vgl. www.bfs.admin.ch &gt; &gt; Themen &gt; Arbeit, Er­werb &gt; Erwerbstätigkeit und Arbeitszeit &gt; detaillierte Daten &gt; Statistik der betriebsüblichen Arbeits­zeit &gt; Be­triebsübliche Arbeitszeit nach Wirtschaftsabteilungen, in Stun­den pro Woche 1990-2011, Totalwert; zuletzt besucht am 14. Januar 2013) resultiert in Übereinstimmung mit der Vorinstanz als Zwischenergebnis ein hypothetisches Invalideneinkommen von monatlich Fr. 4'998.24. Unter Berücksichtigung des von der Vorinstanz korrekt vorgenommenen leidensbedingten Abzugs von 15 % (vgl. zum Eingriff ins Verwaltungsermessen BGE 126 V 75 E. 6, 123 V 150 E. 2 mit Hinweisen) ergibt sich somit ein hypothetisches Invalideneinkommen von Fr. 4'248.50 pro Monat.</w:t>
      </w:r>
    </w:p>
    <w:p>
      <w:r>
        <w:rPr>
          <w:b/>
        </w:rPr>
        <w:t>E. 4.4.3</w:t>
      </w:r>
    </w:p>
    <w:p>
      <w:r>
        <w:t>Aus der Gegenüberstellung eines hypothetischen Valideneinkommens von Fr. 61'466.64 (12 x Fr. 5'122.22) pro Jahr und eines hypothetischen Invalideneinkommens von jährlich Fr. 50'982.- (12 x Fr. 4'248.50) resultiert bei einer Erwerbseinbusse Fr. 10'484.64 ein rentenausschliessender IV-Grad von gerundet 17.1 % (zur Rundung vgl. 130 V 121 E. 3.2).</w:t>
      </w:r>
    </w:p>
    <w:p>
      <w:r>
        <w:rPr>
          <w:b/>
        </w:rPr>
        <w:t>E. 5</w:t>
      </w:r>
    </w:p>
    <w:p>
      <w:r>
        <w:t>Aufgrund der vorstehenden Erwägungen ist zusammenfassend festzuhalten, dass sich die angefochtene Verfügung vom 1. Juli 2010 als rechtens erweist, weshalb die dagegen erhobene Beschwerde vom 28. Juli 2010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und mit dem geleisteten Kostenvorschuss in der Höhe von Fr. 414.- zu verrechnen. Die Restanz von Fr. 14.- ist dem Beschwerdeführer nach Eintritt der Rechtskraft des vorliegenden Urteils zurückzuerstatten.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