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C-5533/2012 vom 5. Februar 2016</w:t>
      </w:r>
    </w:p>
    <w:p>
      <w:r>
        <w:t>Bundesverwaltungsgericht, 2016-02-05, DE</w:t>
      </w:r>
    </w:p>
    <w:p>
      <w:r>
        <w:rPr>
          <w:b/>
        </w:rPr>
        <w:t xml:space="preserve">Quelle: </w:t>
      </w:r>
      <w:r>
        <w:t>https://mcp.opencaselaw.ch/entscheid/bvger_C-5533_2012</w:t>
      </w:r>
    </w:p>
    <w:p>
      <w:r>
        <w:t>FR: TAF C-5533/2012 du 5 février 2016</w:t>
      </w:r>
    </w:p>
    <w:p>
      <w:r>
        <w:t>IT: TAF C-5533/2012 del 5 febbraio 2016</w:t>
      </w:r>
    </w:p>
    <w:p>
      <w:pPr>
        <w:pStyle w:val="Heading2"/>
      </w:pPr>
      <w:r>
        <w:t>Regeste</w:t>
      </w:r>
    </w:p>
    <w:p>
      <w:r>
        <w:t>Spezialitätenliste in der Krankenversicherung</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Bundesverwaltungsgericht nach dem VwVG, soweit das VGG nichts anderes bestimmt. Die Bestimmungen des ATSG (SR 830.1) sind vorliegend nicht anwendbar (vgl. Art. 1 Abs. 1 und 2 Bst. b KVG [SR 832.10]).</w:t>
      </w:r>
    </w:p>
    <w:p>
      <w:r>
        <w:rPr>
          <w:b/>
        </w:rPr>
        <w:t>E. 1.3</w:t>
      </w:r>
    </w:p>
    <w:p>
      <w:r>
        <w:t>Die Beschwerdeführerin ist im Sinne von Art. 48 Abs. 1 VwVG zur Beschwerdeführung legitimiert und hat am vorinstanzlichen Verfahren teilgenommen. Nachdem der Verfahrenskostenvorschuss rechtzeitig geleistet worden ist, ist auf die frist- und formgerecht eingereichte Beschwerde einzutreten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Bundesverwaltungsgericht hat in Beschwerdeverfahren betreffend die Spezialitätenliste betreffenden Verfügungen in Ermessensfragen einen Entscheidungsspielraum des BAG zu respektieren. Es hat dessen Entscheid (nur) zu überprüfen und sich nicht an dessen Stelle zu setzen (vgl. für viele: Urteil des BVGer C 6591/2012 vom 7. Oktober 2015 E. 3.2 m.w.H.).</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Verfügung, also am 27. September 2012 geltenden materiellen Bestimmungen. Dazu gehören neben dem KVG in der aktuellen Fassung einerseits namentlich die KVV (SR 832.102) in der nach Inkrafttreten der Änderung vom 21. März 2012 geltenden Fassung (vgl. dazu AS 2012 1767 zur Änderung von Art. 65d KVV) und die Verordnung des EDI über Leistungen in der obligatorischen Krankenpflegeversicherung (KLV, SR 832.112.31) in der nach Inkrafttreten der Änderung vom 21. März 2012 geltenden Fassung (vgl. dazu AS 2012 1769). Massgebend für einen Rückgriff auf das SL Handbuch ist vorliegend in zeitlicher Hinsicht dessen Fassung vom 1. Januar 2012, welches in der Folge durch das neue SL-Handbuch vom 1. März 2013 ersetzt wurde. Soweit nicht anders indiziert, wird im Rahmen dieses Urteils in zeitlicher Hinsicht auf die genannten Versionen der Rechtsbestimmungen und des Handbuchs Bezug genommen.</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 6591/2012 E. 3.3 m.w.H.).</w:t>
      </w:r>
    </w:p>
    <w:p>
      <w:r>
        <w:rPr>
          <w:b/>
        </w:rPr>
        <w:t>E. 3.1</w:t>
      </w:r>
    </w:p>
    <w:p>
      <w:r>
        <w:t>Vorliegend ist unbestritten, dass das BAG für B._______ eine dreijährliche Überprüfung der Arzneimittelpreise (im Sinne von Art. 65d KVV) vorgenommen hat, dafür ausschliesslich auf einen Therapeutischen Quervergleich (TQV) abgestützt hat, da B._______ zum Verfügungszeitpunkt in den Referenzländern Dänemark, Deutschland, Niederlande, Grossbritannien, Frankreich und Österreich nicht zugelassen war und daher kein Auslandspreisvergleich durchgeführt werden konnte, und für die in der Verfügung angeführten Packungen von B._______ eine Preissenkung vornehmen durfte bzw. musste. Unbestritten ist ferner, dass dieser Therapeutische Quervergleich unter Einbezug von F._______ und G._______ erfolgte.</w:t>
      </w:r>
    </w:p>
    <w:p>
      <w:r>
        <w:rPr>
          <w:b/>
        </w:rPr>
        <w:t>E. 3.2</w:t>
      </w:r>
    </w:p>
    <w:p>
      <w:r>
        <w:t>Umstritten ist die Höhe der zu verfügenden Preissenkung. Dabei macht die Beschwerdeführerin hauptsächlich gelten, dass der TQV in mehrfacher Hinsicht nicht gesetzeskonform und im Widerspruch zum SL Handbuch durchgeführt worden sei, dass die konkrete, angefochtene Preissenkung in der Höhe von fast 50 % die Wirtschaftsfreiheit der Beschwerdeführerin tangiere und sich dafür nicht auf eine ausreichende gesetzliche Grundlage stütze, gegen das Verhältnismässigkeitsgebot verstosse und das Gleichbehandlungsgebot und das Willkürverbot verletze (vgl. z.B. Triplik S. 36 f, Quintuplik S. 3). Die Beschwerdeführerin beantragt, dass der Preis für B._______ nicht unter den Preis von G._______ zu senken sei, und argumentiert damit, dass es nicht sein könne, dass der Tarif von B._______, das besser als G._______ sei, unter den Preis von G._______ zu liegen komme (vgl. B act. 2 S. 30).</w:t>
      </w:r>
    </w:p>
    <w:p>
      <w:r>
        <w:rPr>
          <w:b/>
        </w:rPr>
        <w:t>E. 4</w:t>
      </w:r>
    </w:p>
    <w:p>
      <w:r>
        <w:t>Die Zulassungsinhaberin muss dem BAG bis zum 31. Mai des Überprüfungsjahres folgende Unterlagen einreichen: a. die von einer zeichnungsberechtigten Person der zuständigen Auslandsvertretung der Zulassungsinhaberin bestätigten, am 1. April des Überprüfungsjahres geltenden Fabrikabgabepreise aller Vergleichsländer nach Artikel 35 Absatz 2; b. bei der erstmaligen Überprüfung die Anzahl der seit der Aufnahme in die Spezialitätenliste verkauften Packungen des Originalpräparates in der Schweiz, für sämtliche Handelsformen einzeln ausgewiesen; c. aktualisierte Daten mit Angabe der gegenüber der vorausgegangenen Überprüfung veränderten Informationen zum Arzneimittel.</w:t>
      </w:r>
    </w:p>
    <w:p>
      <w:r>
        <w:rPr>
          <w:b/>
        </w:rPr>
        <w:t>E. 4.1</w:t>
      </w:r>
    </w:p>
    <w:p>
      <w:r>
        <w:t>Spezifische Bestimmungen zur Spezialitätenliste finden sich namentlich in Art. 52 KVG und Art. 59b, 64 75 KVV und Art. 30 38a KLV. Sie sind allerdings nicht isoliert, sondern im Rahmen der gesamten Systematik und Regelungen der obligatorischen Krankenpflegeversicherung (OKP) zu würdigen und anzuwenden. So gelten die in Art. 32 Abs. 1 KVG an OKP Leistungen gestellten Voraussetzungen der Wirksamkeit, Zweckmässigkeit und Wirtschaftlichkeit (sogenannte WZW-Kriterien) auch für Arzneimittel. Die verwendungsfertigen Arzneimittel müssen - in Bezug auf präzise medizinische Indikationen - wirksam, zweckmässig und wirtschaftlich sein (vgl. Art. 65 Abs. 3 KVV, Art. 65b Abs. 1 KVV; BGE 137 V 295 E. 6.1, 6.2, 6.3.1; 130 V 352 E. 3.2.2).</w:t>
      </w:r>
    </w:p>
    <w:p>
      <w:r>
        <w:rPr>
          <w:b/>
        </w:rPr>
        <w:t>E. 4.2</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Nur Arzneimittel nach dieser Definition können Arzneimittel im Sinne von Art. 25 Abs. 2 Bst. b KVG sein. Als Originalpräparat gilt ein vom Schweizerischen Heilmittelinstitut Swissmedic (Institut) als erstes mit einem bestimmten Wirkstoff zugelassenes Arzneimittel, einschliesslich aller zum gleichen Zeitpunkt oder später zugelassenen Darreichungsformen (Art. 64a Abs. 1 KVV; zum Ganzen vgl. Urteil C 6591/2012 E. 4.3.1 m.w.H.).</w:t>
      </w:r>
    </w:p>
    <w:p>
      <w:r>
        <w:rPr>
          <w:b/>
        </w:rPr>
        <w:t>E. 4.3</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Diese Identität bleibt während dem Verbleib auf der Spezialitätenliste (und einer allfälligen Streichung daraus) massgebend. Terminologisch ist Folgendes auszuführen: Der Begriff der Gamme wird weder im KVG noch in den gestützt darauf erlassenen Verordnungen oder im SL Handbuch definiert.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Dabei werden unter einer Gamme insbesondere die verschiedenen auf der SL aufgeführten Dosisstärken und Packungsgrössen ein und desselben Arzneimittels verstanden (zum Ganzen vgl. BVGE 2010/22 E. 5.3.1 m.w.H.). Als Darreichungsform bezeichnet man die Zubereitung, mit der ein Wirkstoff appliziert wird (z.B. Weichkapsel, Filmtablette, Gel, Sirup), auch "galenische Form eines Arzneimittels" genannt. Die Begriffe "Dosisstärke" und "Dosierung" sind nicht eindeutig definiert und werden von den Parteien (und dem Verordnungsgeber) nicht einheitlich verwendet. Vorliegend soll mit dem Begriff der "Dosisstärke" die Wirkstoffmenge bezeichnet werden, die mit einer Einheit einer galenischen Form verabreicht wird. Demgegenüber meint "Dosierung" die Menge eines Wirkstoffes, die bei einer bestimmten Indikation gemäss der durch Swissmedic zu bewilligenden Arzneimittelinformation zu verabreichen ist.</w:t>
      </w:r>
    </w:p>
    <w:p>
      <w:r>
        <w:rPr>
          <w:b/>
        </w:rPr>
        <w:t>E. 4.4</w:t>
      </w:r>
    </w:p>
    <w:p>
      <w:r>
        <w:t>Ein in der Spezialitätenliste aufgeführtes Arzneimittel muss die SL Aufnahmebedingungen stets erfüllen, ansonsten es in der Spezialitätenliste gestrichen wird (vgl. Art. 68 Abs. 1 Bst. a KVV i.V.m. Art. 32 Abs. 1 KVG). Für die auf der SL gelisteten Arzneimittel erfolgt im Dreijahresrhythmus eine Prüfung, ob sie die SL Aufnahme­bedingungen (weiterhin) erfüllen (vgl. Art. 65d KVV und Art. 35b f. KLV sowie Art. 32 Abs. 2 KVG).</w:t>
      </w:r>
    </w:p>
    <w:p>
      <w:r>
        <w:rPr>
          <w:b/>
        </w:rPr>
        <w:t>E. 4.4.1</w:t>
      </w:r>
    </w:p>
    <w:p>
      <w:r>
        <w:t>Die Modalitäten im Zusammenhang mit der Überprüfung alle drei Jahre (sogenannte dreijährliche Überprüfung) werden primär in Art. 65d KVV (in der seit 1. Mai 2012 geltenden Fassung; AS 2012 1767) geregelt. Diese Bestimmung unter dem Titel "Überprüfung der Aufnahmebedingungen alle drei Jahre" lautet wie folgt: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der Vergleich mit der Preisgestaltung im Ausland nicht möglich ist. 1ter Das Departement kann beim Auslandspreisvergleich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 3 Die Inhaberinnen der Zulassungen haben dem BAG alle notwendigen Unterlagen zuzustellen. Das Departement erlässt zum Verfahren der Überprüfung nähere Vorschriften."</w:t>
      </w:r>
    </w:p>
    <w:p>
      <w:r>
        <w:rPr>
          <w:b/>
        </w:rPr>
        <w:t>E. 4.4.2</w:t>
      </w:r>
    </w:p>
    <w:p>
      <w:r>
        <w:t>Art. 35b KLV (Sachüberschrift "Überprüfung der Aufnahmebedingungen alle drei Jahre") in der seit 1. Mai 2012 geltenden Fassung lautet wie folgt: "1 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 Davon ausgenommen sind diejenigen Originalpräparate, die seit ihrer letzten Überprüfung aufgrund einer Indikationserweiterung nach Artikel 66 KVV oder einer Limitierungsänderung nach Artikel 66a KVV ausserhalb des Rhythmus nach Absatz 1 überprüft wurden. Das BAG führt die nächste Überprüfung dieser Originalpräparate im dritten Jahr nach der Überprüfung wegen einer Indikationserweiterung oder einer Limitierungsänderung durch. 3 Massgebend für die Überprüfung ist das Aufnahmedatum der ersten Handelsform eines Wirkstoffes, der in dem Originalpräparat enthalten ist.</w:t>
      </w:r>
    </w:p>
    <w:p>
      <w:r>
        <w:rPr>
          <w:b/>
        </w:rPr>
        <w:t>E. 4.5</w:t>
      </w:r>
    </w:p>
    <w:p>
      <w:r>
        <w:t>Art. 67 Abs. 2ter KVV und Art. 35c Abs. 1 KLV sehen als Korrekturmechanismus die Rückvergütung gewisser Mehreinnahmen vor.</w:t>
      </w:r>
    </w:p>
    <w:p>
      <w:r>
        <w:rPr>
          <w:b/>
        </w:rPr>
        <w:t>E. 4.5.1</w:t>
      </w:r>
    </w:p>
    <w:p>
      <w:r>
        <w:t>Art. 67 Abs.2ter lautet wie folgt: "Übersteigt der bei der Aufnahme eines Arzneimittels in die Spezialitätenliste dem verfügten Höchstpreis zugrunde gelegte Fabrikabgabepreis den bei der Überprüfung der Wirtschaftlichkeit ermittelten Fabrikabgabepreis um mehr als 3 Prozent und betragen die dadurch erzielten Mehreinnahmen mindestens 20 000 Franken, so kann das BAG den Inhaberinnen der Zulassung für ein Arzneimittel zur Rückerstattung der seit der Aufnahme erzielten Mehreinnahmen an die gemeinsame Einrichtung nach Artikel 18 des Gesetzes verpflichten."</w:t>
      </w:r>
    </w:p>
    <w:p>
      <w:r>
        <w:rPr>
          <w:b/>
        </w:rPr>
        <w:t>E. 4.5.2</w:t>
      </w:r>
    </w:p>
    <w:p>
      <w:r>
        <w:t>Art. 35c KLV ("Rückerstattung der Mehreinnahmen") ergänzt bzw. präzisiert die Regelung von Art. 67 Abs. 2ter KVV wie folgt: "1 Bei der erstmaligen Überprüfung der Aufnahmebedingungen nach Artikel 35b prüft das BAG, ob Mehreinnahmen nach Artikel 67 Absatz 2ter KVV erzielt wurden. 2 Zur Ermittlung der für eine Rückerstattung massgebenden Limiten nach Artikel 67 Absatz 2ter KVV werden sämtliche Handelsformen eines Arzneimittels herange­zogen. 3 Die Mehreinnahmen werden wie folgt berechnet: a. Zuerst wird die Preisdifferenz zwischen dem Fabrikabgabepreis bei der Auf­nahme und demjenigen nach der Preissenkung ermittelt. b. Danach wird diese Preisdifferenz multipliziert mit der Anzahl der seit der Aufnahme bis zur Preissenkung verkauften Packungen. 4 Massgebend für die Berechnung der Mehreinnahmen sind die Wechselkurse im Moment der Aufnahme des Präparates. 5 Hat das BAG begründete Zweifel an der Richtigkeit der von der Zulassungsinha­berin gemachten Angaben, so kann es von ihr für das betroffene Arzneimittel eine Bestätigung dieser Angaben durch die externe Revisionsstelle dieses Unternehmens verlangen.</w:t>
      </w:r>
    </w:p>
    <w:p>
      <w:r>
        <w:rPr>
          <w:b/>
        </w:rPr>
        <w:t>E. 5</w:t>
      </w:r>
    </w:p>
    <w:p>
      <w:r>
        <w:t>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5.1</w:t>
      </w:r>
    </w:p>
    <w:p>
      <w:r>
        <w:t>Da die 24 am 1. November 2012 auf der SL aufgeführten Packungen von B._______ dieselbe BAG-Dossiernummer C._______, dieselbe Zulassungsnummer der Swissmedic und dieselbe galenische Form aufweisen (vgl. oben Sachverhalt Bst. A.a), bilden diese 24 Packungen zusammen die die SL Gamme von B._______ (vgl. oben E. 4.3). Die vorliegend umstrittene dreijährliche Überprüfung der Aufnahmebedingungen wurde aber nur für die 10 Packungen mit der geringsten Dosisstärke explizit durchgeführt (50er- und 100er-Packungen je mit der Dosisstärke 13 mcg, 25 mcg, 50 mcg, 75 mcg, 88 mcg; nachfolgend: überprüfte oder dosisschwächere Packungen). Die übrigen 14 Packungen mit höherer Dosisstärke (50er- und 100er-Packungen je mit der Dosisstärke 100 mcg, 112 mcg, 125 mcg, 137 mcg, 150 mcg, 175 mcg, 200 mcg; nachfolgend: ungeprüfte oder dosisstärkere Packungen) hat das BAG nicht explizit in diese Überprüfung miteinbezogen. Die Beschwerdeführerin rügt die Einschränkung auf 10 Packungen nicht und ihre Beschwerdeanträge beziehen sich auf diese Packungen explizit. Weder das BAG noch die Beschwerdeführerin begründen, warum nur ein Teil der SL-Gamme von B._______ (die 10 dosisschwächsten Packungen) in die vorliegend umstrittene Preisüberprüfung und -anpassung einbezogen wurden.</w:t>
      </w:r>
    </w:p>
    <w:p>
      <w:r>
        <w:rPr>
          <w:b/>
        </w:rPr>
        <w:t>E. 5.2</w:t>
      </w:r>
    </w:p>
    <w:p>
      <w:r>
        <w:t>Gewisse Formulierungen in der Verfügung rufen den Eindruck hervor, dass sich die Verfügung nicht nur auf die 10 dosisschwächeren B._______-Packungen bezieht, sondern implizit auf alle 24 SL B._______-Packungen. So nimmt das BAG im Betreff der angefochtenen Verfügung keine Einschränkung des von der dreijährlichen Überprüfung betroffenen Arzneimittels vor ("[C._______] B._______") und zieht aus seinen Ausführungen die folgenden Schlüsse: "Die FAP für das Arzneimittel B._______ sind aufgrund des TQV um 47.43 % zu senken." "1. Die SL-Preise [inkl. MwSt.] von (C._______) B._______ werden wie folgt festgesetzt:" (angefochtene Verfügung S. 6-8).</w:t>
      </w:r>
    </w:p>
    <w:p>
      <w:r>
        <w:rPr>
          <w:b/>
        </w:rPr>
        <w:t>E. 5.3.1</w:t>
      </w:r>
    </w:p>
    <w:p>
      <w:r>
        <w:t>Beide Parteien berufen sich zur Begründung ihrer Positionen mehrfach - explizit oder zumindest implizit - auf alle 24 SL-B._______-Packungen (nachfolgend: Gammenpackungen), auf unterschiedliche Packungsgruppen, die sowohl geprüfte als auch ungeprüfte Packungen umfassen, und auf einzelne der ungeprüften, dosisstärkeren Packungen. So unterscheidet das BAG in seiner der Preisänderung zugrunde gelegten TQV-Tabelle zwischen der Gamme "B._______" und den "berücksichtigten Packungen" (wobei es sich um die dosisschwächeren Packungen handelt) und schliesst dann auf die "auf die Gamme anzuwendende prozentuale Preissenkung" (angefochtene Verfügung S. 6). Weiter begründet das BAG die Preiserhöhung, die es in der angefochtenen Verfügung für die B._______-Packungen mit der Dosisstärke 13 mcg vorgenommen hat, damit, dass aufgrund dieser Massnahme die gesamte B._______-Gamme ein Flat-Pricing aufweise. Gestützt darauf hat es dann (für die 10 überprüften Packungen) den Preisvergleich mit F._______ mit der Begründung vorgenommen, dass F._______ ebenfalls ein Flat-Pricing aufweise (angefochtene Verfügung S. 6 f.; vgl. auch Vernehmlassung des BAG S. 6).</w:t>
      </w:r>
    </w:p>
    <w:p>
      <w:r>
        <w:rPr>
          <w:b/>
        </w:rPr>
        <w:t>E. 5.3.2</w:t>
      </w:r>
    </w:p>
    <w:p>
      <w:r>
        <w:t>Die Parteien setzen sich in mehreren Eingaben mit der Frage auseinander, inwiefern die unbestritten grosse B._______-Packungspalette (24 unterschiedliche Packungen) bei der Preisüberprüfung bzw. -festsetzung zu berücksichtigen sei (vgl. insbesondere Beschwerde S. 17 21, 28 31; Vernehmlassung des BAG S. 11 f.; Replik S. 18 f., 27 29; Duplik S. 9, 12 f.; Triplik S. 7; Quadruplik S. 9; Quintuplik S. 6, 11).</w:t>
      </w:r>
    </w:p>
    <w:p>
      <w:r>
        <w:rPr>
          <w:b/>
        </w:rPr>
        <w:t>E. 5.3.3</w:t>
      </w:r>
    </w:p>
    <w:p>
      <w:r>
        <w:t>Soweit die Parteien darüber streiten, welche Tagesdosen und Dossistärken einem allfälligen Tagestherapiekostenvergleich zugrunde zu legen seien, beziehen sie auch Dosisstärken bzw. Zwischendosierungen ein, die über dem Höchstwert der dosisschwachen Packungen (88 mcg) liegen (vgl. Beschwerde S. 28 31; Vernehmlassung S. 14 f.; Replik S. 36 f.; Duplik S. 12 f.; Triplik S. 11-14; Quadruplik S. 9 f.).</w:t>
      </w:r>
    </w:p>
    <w:p>
      <w:r>
        <w:rPr>
          <w:b/>
        </w:rPr>
        <w:t>E. 5.4</w:t>
      </w:r>
    </w:p>
    <w:p>
      <w:r>
        <w:t>Angesichts dieser Diskrepanzen bzw. Überschneidungen zwischen den 10 explizit in die Überprüfung einbezogenen B._______-Packungen, die Hinweise auf eine Wirkung der Verfügung auf die gesamten 24 B._______-Packungen der SL-Gamme und die unter Bezugnahme auf einzelne oder alle 14 ungeprüften Packungen gemachten Ausführungen der Parteien ist zu prüfen, ob das BAG vorliegend seine dreijährliche Überprüfung von B._______ auf die 10 dosisschwächsten Packungen einschränken durfte.</w:t>
      </w:r>
    </w:p>
    <w:p>
      <w:r>
        <w:rPr>
          <w:b/>
        </w:rPr>
        <w:t>E. 5.4.1</w:t>
      </w:r>
    </w:p>
    <w:p>
      <w:r>
        <w:t>Gemäss Art. 35b Abs. 1 KLV führt das BAG die Überprüfung der Originalpräparate nach Art. 65d Abs. 1 KVV einmal pro Kalenderjahr durch. Gemäss Art. 64a Abs. 1 KVV gilt als Originalpräparat ein vom Schweizerischen Heilmittelinstitut Swissmedic (Institut) als erstes mit einem bestimmten Wirkstoff zugelassenes Arzneimittel, einschliesslich aller zum gleichen Zeitpunkt oder später zugelassenen Darreichungsformen. Aus Art. 35b KLV und Art. 65d Abs. 1 KVV i.V.m. Art. 64a Abs. 1 KVV ergibt sich somit, dass die jeweilige dreijährliche Überprüfung sämtliche im massgebenden Zeitpunkt auf der Spezialitätenlisten enthaltenen Darreichungsformen zu umfassen hat.</w:t>
      </w:r>
    </w:p>
    <w:p>
      <w:r>
        <w:rPr>
          <w:b/>
        </w:rPr>
        <w:t>E. 5.4.2</w:t>
      </w:r>
    </w:p>
    <w:p>
      <w:r>
        <w:t>Weiter bestimmt sich das (dreijährliche) Überprüfungsjahr für alle zugelassenen Darreichungsformen eines Arzneimittels (Originalpräparat) nach dem Aufnahmedatum der ersten Handelsform eines Wirkstoffes, der in diesem Originalpräparat enthalten ist (vgl. Art. 35b Abs. 3 KLV i.V.m. Art. 64a Abs. 1 KVV).</w:t>
      </w:r>
    </w:p>
    <w:p>
      <w:r>
        <w:rPr>
          <w:b/>
        </w:rPr>
        <w:t>E. 5.4.3</w:t>
      </w:r>
    </w:p>
    <w:p>
      <w:r>
        <w:t>Ausserdem ist auf Art. 67 Abs. 2ter KVV i.V.m. Art. 35c KLV betreffend eine allfällige Rückerstattung von Mehreinnahmen zu verweisen (vgl. oben E. 4.5.2). Da für die Ermittlung der massgebenden Limiten und der tatsächlichen Mehreinnahmen sämtliche Handelsformen eines Arzneimittels herange­zogen werden (vgl. Art. 35c Abs. 1 f. KLV), muss aus der Preissenkungsverfügung, welche eine allfällige Rückerstattungsprüfung auslöst, klar ersichtlich sein, welche (neuen) Preise für sämtliche Handelsformen festgesetzt (oder allenfalls bestätigt) wurden.</w:t>
      </w:r>
    </w:p>
    <w:p>
      <w:r>
        <w:rPr>
          <w:b/>
        </w:rPr>
        <w:t>E. 5.4.4</w:t>
      </w:r>
    </w:p>
    <w:p>
      <w:r>
        <w:t>Somit kann von Bundesrechts wegen die dreijährliche Überprüfung jeweils nur in Bezug auf die gesamte betroffene Gamme vorgenommen werden. Da die in E. 5.4.1-5.4.3 angeführten Normen sich nicht auf die dreijährliche Überprüfung als solche beziehen und nicht spezifisch für eine Überprüfung durch APV oder durch TQV eingeschränkt sind, gilt die bundesrechtliche Vorgabe unabhängig davon, ob die Überprüfung auf Grund eines APV und/oder eines TQV durchgeführt wurde.</w:t>
      </w:r>
    </w:p>
    <w:p>
      <w:r>
        <w:rPr>
          <w:b/>
        </w:rPr>
        <w:t>E. 5.4.5</w:t>
      </w:r>
    </w:p>
    <w:p>
      <w:r>
        <w:t>Was für sachfremde Auswirkungen die auf bloss einen Teil der Gammenpackungen eines Arzneimittels beschränkte Preisüberprüfung bzw. Preissenkung haben kann, lässt sich vorliegend auszugsweise und beispielhaft an Folgendem illustrieren: Würde die Beschwerde abgewiesen und die angefochtene Verfügung in Rechtskraft erwachsen, würden die folgenden SL Preise für die 24 B._______-Packungen ab 1. November 2012 gelten: Wirkstoff 13 / 25 / 50 / 75 / 88 je Packung zu 50 Weichkapseln: FAP Fr. [...], PP Fr. [...] je Packung zu 100 Weichkapseln: FAP Fr. [...], PP Fr. [...] Wirkstoff 100 / 112 / 125 / 137 / 150 / 175 / 200 mcg je Packung zu 50 Weichkapseln: FAP Fr. [...], PP Fr. [...], je Packung zu 100 Weichkapseln: FAP Fr. [...], PP Fr. [...] Damit würde insbesondere zwischen den 50er- und 100er-Packungen à 88 mcg und den 50er- und 100er-Packungen à 100 mcg (Wirkstoffdifferenz: 13,64 %) ein Preisanstieg von über 52 % resultieren. Dieser würde lediglich darauf beruhen, dass die Packungen bis Dosisstärke 88 mcg in die umstrittene Überprüfung einbezogen wurden, die Packungen mit einer Dosisstärke ab 100 mcg aber nicht. Eine sachliche Rechtfertigung für eine solche unterschiedliche Behandlung ist nicht ersichtlich. Angesichts dieser Aufteilung der Packungen in zwei Preisgruppen, zwischen denen eine erhebliche Differenz bestünde, kann von einem Flat Pricing für die B._______-Gamme keine Rede sein. Soweit sich das BAG für den durchgeführten Vergleich zwischen B._______ und F._______ auf ein Flat Pricing abstützt (vgl. oben E. 5.3.2), ist diese Argumentation des BAG nicht haltbar. Zudem wäre mindestens erklärungsbedürftig, weshalb das BAG einerseits die 100er-Packungen à 100 mcg von B._______ gänzlich von der Preisüberprüfung ausgeschlossen, andererseits beim Vergleich mit G._______ zur Hälfte auf die 100er-Packungen von G._______ à 100 mcg abgestützt hat. Ausserdem lassen sich die von beiden Parteien vorgebrachten und zwischen ihnen umstrittenen Argumente betreffend die Preisrelevanz der B._______-Packungspalette (24 unterschiedliche Packungen) und der einem allfälligen Tagestherapiekostenvergleich zu Grund liegenden Tagesdosen und Dosisstärken (vgl. oben E. 5.3.2 f.) nur unter Einbezug aller 24 Packungen sachgerecht beurteilen.</w:t>
      </w:r>
    </w:p>
    <w:p>
      <w:r>
        <w:rPr>
          <w:b/>
        </w:rPr>
        <w:t>E. 5.5</w:t>
      </w:r>
    </w:p>
    <w:p>
      <w:r>
        <w:t>Indem das BAG nur 10 der 24 B._______-SL-Gammen-Packungen der dreijährlichen Überprüfung unterzogen und nur für diese 10 Packungen eine Verfügung erlassen hat, hat es somit gegen Bundesrecht verstossen. Die Beschwerde ist daher gutzuheissen, die angefochtene Verfügung aufzuheben und das BAG anzuweisen, eine neue Überprüfung unter Einbezug aller Gammenpackungen für B._______ vorzunehmen.</w:t>
      </w:r>
    </w:p>
    <w:p>
      <w:r>
        <w:rPr>
          <w:b/>
        </w:rPr>
        <w:t>E. 5.6</w:t>
      </w:r>
    </w:p>
    <w:p>
      <w:r>
        <w:t>Auf die weiteren Rügen, Ausführungen der Parteien und Akten ist unter diesen Umständen nicht weiter einzugehen. 6. Mit Eintreten der Rechtskraft dieses Urteils fallen der Entscheid des Bundesverwaltungsgerichts betreffend Wiederherstellung der aufschiebenden Wirkung und die Anordnung vorsorglicher Massnahmen für die Dauer des Beschwerdeverfahrens dahin (vgl. oben Sachverhalt Bst. C.d).</w:t>
      </w:r>
    </w:p>
    <w:p>
      <w:r>
        <w:rPr>
          <w:b/>
        </w:rPr>
        <w:t>E. 6</w:t>
      </w:r>
    </w:p>
    <w:p>
      <w:r>
        <w:t>Senkt die Zulassungsinhaberin vor dem 1. November des Überprüfungsjahres den Fabrikabgabepreis ihres Originalpräparates freiwillig auf das durchschnittliche Preisniveau der Referenzländer nach Artikel 35 Absatz 2, so hat sie dem BAG diese durchschnittlichen Preise zum Zeitpunkt des Antrags auf freiwillige Preissenkung einzureichen. Erfolgt diese Senkung innerhalb der ersten 18 Monate seit der Aufnahme eines Originalpräparates in die Spezialitätenliste, so ist die Zulassungs­inhaberin nicht zur Rückerstattung der Mehreinnahmen verpflichtet.</w:t>
      </w:r>
    </w:p>
    <w:p>
      <w:r>
        <w:rPr>
          <w:b/>
        </w:rPr>
        <w:t>E. 7</w:t>
      </w:r>
    </w:p>
    <w:p>
      <w:r>
        <w:t>Damit bleibt über die Verfahrenskosten und die Parteientschädigung zu befinden.</w:t>
      </w:r>
    </w:p>
    <w:p>
      <w:r>
        <w:rPr>
          <w:b/>
        </w:rPr>
        <w:t>E. 7.1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Der Vorinstanz sind keine Verfahrenskosten aufzuerlegen (vgl. Art. 63 Abs. 2 VwVG).</w:t>
      </w:r>
    </w:p>
    <w:p>
      <w:r>
        <w:rPr>
          <w:b/>
        </w:rPr>
        <w:t>E. 7.2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(für die Bemessungsfaktoren vgl. Urteil C 5912/2013 E. 12.2 m.w.H.).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der Beschwerdeführerin zu Lasten der Vorinstanz eine als angemessen zu erachtende Parteientschädigung von Fr. 8'000.- (inkl. Auslagen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