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C-5526/2020 vom 5. Oktober 2021</w:t>
      </w:r>
    </w:p>
    <w:p>
      <w:r>
        <w:t>Bundesverwaltungsgericht, 2021-10-05, DE</w:t>
      </w:r>
    </w:p>
    <w:p>
      <w:r>
        <w:rPr>
          <w:b/>
        </w:rPr>
        <w:t xml:space="preserve">Quelle: </w:t>
      </w:r>
      <w:r>
        <w:t>https://mcp.opencaselaw.ch/entscheid/bvger_C-5526_2020</w:t>
      </w:r>
    </w:p>
    <w:p>
      <w:r>
        <w:t>FR: TAF C-5526/2020 du 5 octobre 2021</w:t>
      </w:r>
    </w:p>
    <w:p>
      <w:r>
        <w:t>IT: TAF C-5526/2020 del 5 ottobre 2021</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Vorinstanz vom 5. Oktober 2020 stellt eine Verfügung im Sinne von Art. 5 Abs. 1 VwVG dar. Dagegen hat die Beschwerdeführerin am 5. November 2020 fristgerecht (Art. 50 in Verbindung mit Art. 22a Abs. 1 lit. b VwVG) und formgerecht (Art. 52 VwVG) Beschwerde erhoben. Als Adressatin ist sie durch die angefochtene Verfügung besonders berührt und hat ein schutzwürdiges Interesse an deren Änderung oder Aufhebung (Art. 48 Abs. 1 lit. a bis c VwVG). Nachdem auch der geforderte Kostenvorschuss fristgerecht geleistet worden ist (B-act. 4), sind sämtliche Prozessvoraussetzungen erfüllt, weshalb auf die Beschwerde einzutreten ist.</w:t>
      </w:r>
    </w:p>
    <w:p>
      <w:r>
        <w:rPr>
          <w:b/>
        </w:rPr>
        <w:t>E. 1.3</w:t>
      </w:r>
    </w:p>
    <w:p>
      <w:r>
        <w:t>Das Verfahren vor dem Bundesverwaltungsgericht richtet sich gemäss Art. 37 VGG grundsätzlich nach dem VwVG, soweit das VGG nichts anderes bestimmt.</w:t>
      </w:r>
    </w:p>
    <w:p>
      <w:r>
        <w:rPr>
          <w:b/>
        </w:rPr>
        <w:t>E. 2.1</w:t>
      </w:r>
    </w:p>
    <w:p>
      <w:r>
        <w:t>Gemäss Art. 58 Abs. 1 VwVG kann die Vorinstanz bis zu ihrer Vernehmlassung die angefochtene Verfügung in Wiedererwägung ziehen. Die Beschwerdeinstanz setzt die Behandlung der Beschwerde fort, soweit diese durch die neue Verfügung der Vorinstanz nicht gegenstandslos geworden ist (vgl. Art. 58 Abs. 3 VwVG). Sofern diese neue Verfügung die Begehren der beschwerdeführenden Person nur teilweise erfüllt, ist eine Abschreibung infolge Gegenstandslosigkeit unzulässig und die neue Verfügung gilt durch die bereits erhobene Beschwerde gegen die ursprüngliche Verfügung als mitangefochten (ANDREA PLEIDERER, in: Praxiskommen-tar VwVG, 2. Aufl. 2016, Art. 58 N 44 und 46 m.w.H.; Urteile des BVGer A-856/2018 vom 25. Oktober 2018 E. 1.2.1, C-6111/2010 vom 11. September 2014 E. 1.1.2).</w:t>
      </w:r>
    </w:p>
    <w:p>
      <w:r>
        <w:rPr>
          <w:b/>
        </w:rPr>
        <w:t>E. 2.2</w:t>
      </w:r>
    </w:p>
    <w:p>
      <w:r>
        <w:t>Vorliegend ist das Verfahren im Hauptpunkt, namentlich betreffend den Zwangsanschluss, als durch Wiedererwägung gegenstandslos geworden abzuschreiben, nachdem dieser mit Wiedererwägungsverfügung vom 22. Januar 2021 aufgehoben worden ist. Die Verfügung der Vorinstanz vom 22. Januar 2021 entspricht jedoch nicht vollständig den Anträgen der Beschwerdeführerin, namentlich hinsichtlich der Kostenauflage. Das Stillschweigen der Beschwerdeführerin in dieser Sache nach Erlass der Wiedererwägungsverfügung und Zustellung der Vernehmlassung der Vorinstanz kann im Übrigen nicht als Beschwerderückzug betrachtet werden (vgl. BGE 119 V 38 E. 1b m.w.H. sowie Urteil des BVGer A-5030/2016 vom 16. November 2016). Somit bleibt vorliegend über die Kostenauflage zu entscheiden.</w:t>
      </w:r>
    </w:p>
    <w:p>
      <w:r>
        <w:rPr>
          <w:b/>
        </w:rPr>
        <w:t>E. 3.1</w:t>
      </w:r>
    </w:p>
    <w:p>
      <w:r>
        <w:t>Die Kostenauflage wurde in der ursprünglichen Verfügung vom 5. Oktober 2020 nicht ausdrücklich verfügt. Es ergibt sich jedoch aus den Erwägungen und dem Kostenreglement, auf welches im Dispositiv verwiesen wird, dass der Beschwerdeführerin insgesamt Fr. 825.- in Rechnung gestellt werden (vgl. dazu: Urteile des BVGer A-856/2018 vom 25. Oktober 2018 E. 1.2.2, A-2347/2018 vom 12. Juli 2018, S. 2 und 4). Vorliegend hat die Vorinstanz in ihrer Wiedererwägungsverfügung die Kosten in der Höhe von Fr. 825.- für die erste Verfügung und den Zwangsanschluss explizit verfügt, so dass diese - zusammen mit den Kosten von Fr. 450.- für den Wiedererwägungsentscheid - Streitgegenstand bilden.</w:t>
      </w:r>
    </w:p>
    <w:p>
      <w:r>
        <w:rPr>
          <w:b/>
        </w:rPr>
        <w:t>E. 3.2</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2018 betreffend die Verfügung vom 5. Oktober 2020). Dieses Reglement bildet auch im vorliegenden Fall integrierenden Bestandteil der Zwangsanschlussverfügung. Es sieht unter der Rubrik «Zwangsanschluss» für «Verfügung und Durchführung Zwangsanschluss» Kosten von Fr. 825.- vor. Eine Auferlegung der Kosten für die Zwangsanschlussverfügung ist dann gerechtfertigt, wenn der Zwangsanschluss im Zeitpunkt des Erlasses der Verfügung der Vorinstanz vom 5. Oktober 2020 nach der damaligen Sach- und Rechtslage zu Recht angeordnet wurde (vgl. Urteil des BVGer C-5002/2020 vom 18. August 2021 und A-6747/2016 vom 9. Mai 2017, E. 4).</w:t>
      </w:r>
    </w:p>
    <w:p>
      <w:r>
        <w:rPr>
          <w:b/>
        </w:rPr>
        <w:t>E. 3.3</w:t>
      </w:r>
    </w:p>
    <w:p>
      <w:r>
        <w:t>Die Beschwerdeführerin macht geltend, der Zwangsanschluss sei aufzuheben. Damit macht sie sinngemäss auch die Aufhebung der Kosten des Zwangsanschlusses geltend (B-act. 1). Die Vorinstanz hält fest, dass die Beschwerdeführerin es unterlassen habe, im Rahmen des rechtlichen Gehörs vom 22. Juli 2020 über den seit 1. Januar 2018 bestehenden Anschluss bei der Sammelstiftung B._______ zu informieren. Folglich sei von der Vorinstanz zum damaligen Zeitpunkt zu Recht ein unbefristeter Zwangsanschluss verfügt worden und die Beschwerdeführerin habe die Kosten zu tragen (B-act. 8).</w:t>
      </w:r>
    </w:p>
    <w:p>
      <w:r>
        <w:rPr>
          <w:b/>
        </w:rPr>
        <w:t>E. 3.4</w:t>
      </w:r>
    </w:p>
    <w:p>
      <w:r>
        <w:t>Aus den Akten ergibt sich, dass die Beschwerdeführerin ab 1. Januar 2018 vorsorgepflichtiges Personal beschäftigt hat (B-act. 8 Beilage 1). Erst mit Beschwerde vom 5. November 2020 reichte die Beschwerdeführerin jedoch einen Nachweis ein, aus welchem ersichtlich ist, dass sie seit 1. Januar 2018 einer Vorsorgeeinrichtung angeschlossen ist (B-act. 1 Beilage). Es wäre der Beschwerdeführerin unbenommen gewesen, bereits im Rahmen der Gewährung des rechtlichen Gehörs mit Schreiben vom 22. Juli 2020 den Anschluss an eine Vorsorgeeinrichtung nachzuweisen. Im Zeitpunkt der angefochtenen Verfügung lagen der Vorinstanz somit keine Anhaltspunkte dafür vor, dass ein Anschluss bestand. Die Vorinstanz durfte folglich nach vorgängiger Androhung gestützt auf die Sach- und Rechtslage zum damaligen Zeitpunkt zu Recht einen Zwangsanschluss verfügen (B-act. 8 Beilage 2). Vor diesem Hintergrund erweist es sich auch als gerechtfertigt, dass die Vorinstanz der Beschwerdeführerin die (in der Höhe zu Recht unbestrittenen) Kosten der Verfügung vom 5. Oktober 2020 auferlegt hat (E. 3.1). Dies gilt in der Folge ebenso für die Kosten der Wiedererwägungsverfügung vom 22. Januar 2021 in der Höhe von Fr. 450.-. Die Beschwerde ist in diesen Punkten abzuweisen.</w:t>
      </w:r>
    </w:p>
    <w:p>
      <w:r>
        <w:rPr>
          <w:b/>
        </w:rPr>
        <w:t>E. 4</w:t>
      </w:r>
    </w:p>
    <w:p>
      <w:r>
        <w:t>Zu befinden bleibt über die Verfahrenskosten und eine allfällige Parteientschädigung.</w:t>
      </w:r>
    </w:p>
    <w:p>
      <w:r>
        <w:rPr>
          <w:b/>
        </w:rPr>
        <w:t>E. 4.1</w:t>
      </w:r>
    </w:p>
    <w:p>
      <w:r>
        <w:t>Entsprechend dem Verfahrensausgang wird die Beschwerdeführerin kostenpflichtig: Soweit das Verfahren infolge Wiedererwägung durch die Vorinstanz gegenstandslos geworden ist, hat die Beschwerdeführerin durch ihr Verhalten die Gegenstandslosigkeit bewirkt (E. 3). Damit wird sie diesbezüglich kostenpflichtig (Art. 5 des Reglements vom 21. Februar 2008 über die Kosten und Entschädigungen vor dem Bundesverwaltungsgericht [VGKE; SR 173.320.2]). Im streitig gebliebenen Kostenpunkt unterliegt die Beschwerdeführerin, weshalb sie diesbezüglich ebenfalls die Verfahrenskosten zu tragen hat (Art. 63 Abs. 1 VwVG). Damit sind die Verfahrenskosten auf Fr. 800.- festzusetzen. Dieser Betrag ist dem in der Höhe von Fr. 805.- geleisteten Kostenvorschuss zu entnehmen und die Restanz von Fr. 5.- der Beschwerdeführerin nach Eintritt der Rechtskraft dieses Urteils zurückzuerstatten.</w:t>
      </w:r>
    </w:p>
    <w:p>
      <w:r>
        <w:rPr>
          <w:b/>
        </w:rPr>
        <w:t>E. 4.2</w:t>
      </w:r>
    </w:p>
    <w:p>
      <w:r>
        <w:t>Weder der unterliegenden Beschwerdeführerin noch der Vorinstanz ist eine Parteientschädigung zuzusprechen (Art. 15 i.V.m. Art. 5 VKGE, Art. 64 Abs. 1 VwVG e contrario und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