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C-5517/2011 vom 30. April 2012</w:t>
      </w:r>
    </w:p>
    <w:p>
      <w:r>
        <w:t>Bundesverwaltungsgericht, 2012-04-30, FR</w:t>
      </w:r>
    </w:p>
    <w:p>
      <w:r>
        <w:rPr>
          <w:b/>
        </w:rPr>
        <w:t xml:space="preserve">Quelle: </w:t>
      </w:r>
      <w:r>
        <w:t>https://mcp.opencaselaw.ch/entscheid/bvger_C-5517_2011</w:t>
      </w:r>
    </w:p>
    <w:p>
      <w:r>
        <w:t>FR: TAF C-5517/2011 du 30 avril 2012</w:t>
      </w:r>
    </w:p>
    <w:p>
      <w:r>
        <w:t>IT: TAF C-5517/2011 del 30 aprile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LEtr, applicable à la présente cause, arrêt du Tribunal fédéral 2C_802/2010 du 22 octobre 2010 consid. 4 et réf. cit.).</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30.09.2011; consulté en avril 2012). Il s'ensuit que ni le Tribunal, ni l'ODM ne sont liés par la proposition du SPOP/VD du 13 mai 2011 de donner une suite favorable à la requête du 7 avril 2011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de l'ordonnance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w:t>
      </w:r>
    </w:p>
    <w:p>
      <w:r>
        <w:t>S'agissant de l'examen des conditions matérielles énoncées explicitement à l'art. 27 al. 1 let. a à d LEtr, l'ODM n'a pas laissé entendre dans la motivation de sa décision du 18 août 2011, ni dans son préavis du 21 décembre 2011 que la recourante ne les remplirait pas. L'examen des pièces du dossier conduit à constater que l'immatriculation d'A._______ à la Faculté des sciences sociales et politiques a été admise par l'Université de Lausanne, en sorte que l'établissement précité a reconnu l'aptitude de l'intéressée à suivre la formation en question (cf. en ce sens l'attestation d'immatriculation du 21 mars 2011 jointe à la demande du 7 avril 2011). Il ressort également des pièces du dossier que la prénommée est en mesure de bénéficier d'un logement approprié durant son séjour d'études en Suisse et qu'elle dispose des moyens financiers nécessaires (cf. mémoire de recours, p. 7, et document bancaire figurant au dossier cantonal). Enfin, il n'existe aucun élément dans le dossier qui permette de conclure que l'intéressée n'aurait pas le niveau de formation requis pour suivre la formation prévue, comme le requiert l'art. 27 al. 1 let. d LEtr. En relation avec l'examen relatif aux qualifications personnelles, les autorités doivent avoir la possibilité de vérifier que la demande n'a pas pour unique but d'obtenir frauduleusement un visa pour entrer en Suisse ou dans l'espace Schengen (cf. art. 23 al. 2 OASA; Rapport de la Commission des institutions politiques du Conseil national du 5 novembre 2009 concernant l'initiative parlementaire pour faciliter l'admission et l'intégration des étrangers diplômés d'une haute école suisse, FF 2010 p. 385).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de venir en Suisse compléter sa licence en communication camerounaise par l'obtention d'une maîtrise en science politique, le Tribunal ne saurait, à première vue, contester que la venue en Suisse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la recourante. En conséquence, les conditions fixées par l'art. 27 al. 1 LEtr semblent en l'état être remplies par la recourante.</w:t>
      </w:r>
    </w:p>
    <w:p>
      <w:r>
        <w:rPr>
          <w:b/>
        </w:rPr>
        <w:t>E. 7.1</w:t>
      </w:r>
    </w:p>
    <w:p>
      <w:r>
        <w:t>Il importe toutefois de souligner que l'art. 27 LEtr est une disposition rédigée en la forme potestative (ou "Kann-Vorschrift") et que même si la recourante devait remplir, par hypothèse, toutes les conditions prévues par la loi, elle ne disposerait d'aucun droit à la délivrance d'une autorisation de séjour en vue de formation,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Procédant à une pondération globale de tous les éléments en présence, le Tribunal retiendra ce qui suit.</w:t>
      </w:r>
    </w:p>
    <w:p>
      <w:r>
        <w:rPr>
          <w:b/>
        </w:rPr>
        <w:t>E. 7.2.1</w:t>
      </w:r>
    </w:p>
    <w:p>
      <w:r>
        <w:t>Au crédit d'A._______, il convient de porter le fait qu'elle invoque à l'appui de sa demande la volonté de venir en Suisse poursuivre la formation déjà acquise au Cameroun (licence en communication des organisations) et compléter ainsi son diplôme par l'obtention d'une maîtrise universitaire (master) à la Faculté des sciences sociales et politiques de l'Université de Lausanne (cf. lettre de motivation du 7 avril 2011 et attestation d'admission à l'immatriculation du 21 mars 2011). Plaide également en faveur de la recourante le fait qu'elle entend par sa formation contribuer au développement économique de son pays et qu'elle s'est engagée à quitter la Suisse au terme de ses études (cf. "lettre d'engagement" du 7 avril 2011 et déterminations du 25 juin 2011, p. 4).</w:t>
      </w:r>
    </w:p>
    <w:p>
      <w:r>
        <w:rPr>
          <w:b/>
        </w:rPr>
        <w:t>E. 7.2.2</w:t>
      </w:r>
    </w:p>
    <w:p>
      <w:r>
        <w:t>Sur un plan plus négatif, s'agissant de la nécessité pour A._______ de poursuivre des études universitaires en Suisse, nécessité à laquelle l'autorité inférieure a essentiellement fait allusion, il est à noter qu'il ne s'agit pas d'une des conditions légales énoncées à l'art. 27 LEtr pour l'obtention d'une autorisation de séjour au sens de cette disposition. Néanmoins, il convient aussi d'examiner cet aspect de la requête de l'intéressée sous l'angle du pouvoir d'appréciation conféré à l'autorité dans le cadre de l'art. 96 LEtr (cf. consid. 7.1). Ainsi, à l'instar de l'autorité inférieure (cf. décision entreprise, p. 4), le Tribunal constate que la recourante a déjà effectué au Cameroun des études universitaires qui ont été couronnées par l'obtention, en mars 2011, d'une licence en communication des organisations (cf. copie de l'attestation de réussite émise par l'Université de Douala, pièce jointe à la requête du 7 avril 2011). De plus, il appert des pièces versées au dossier que l'intéressée a déjà pu mettre en pratique ses connaissances dans ce domaine en effectuant trois stages professionnels dans son pays d'origine (cf. curriculum vitae du 7 avril 2011, pièce figurant au dossier cantonal). Force est donc d'admettre que l'intéressée n'acquerrait pas en Suisse une première formation. Dans ce contexte, le Tribunal doit relever qu'en raison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Dans le cas particulier, il n'apparaît pas que des raisons spécifiques et suffisantes soient de nature à justifier l'approbation de l'octroi d'une autorisation de séjour en faveur d'A._______ en vue de compléter sa formation, tant il est vrai que les études projetées en Suisse ne lui sont pas absolument indispensables pour assurer son avenir professionnel au Cameroun. Certes, le Tribunal n'entend pas contester les aspirations légitimes de la recourante à vouloir compléter sa formation et ainsi mettre les connaissances acquises au service du Cameroun, pays encore en voie de développement selon l'intéressée (cf. lettre de motivation du 7 avril 2011). C'est le lieu de préciser, s'agissant des attaches professionnelles de cette dernière au Cameroun, que les stages qu'elle a effectués après l'obtention de sa licence à l'Université de Douala ne l'ont apparemment pas dissuadée de vouloir poursuivre ses études à l'étranger, notamment en Suisse. Dans ce contexte, on ne saurait donc considérer que ses liens personnels ou professionnels avec son pays d'origine soient réellement étroits. 8.Cela étant, suite à une pondération globale de tous les éléments en présence, on ne saurait reprocher à l'ODM d'avoir jugé inopportun d'autoriser A._______ à entreprendre une formation en Suisse. Force est dès lors de reconnaître, eu égard aux considérations qui précèdent, que c'est de manière justifiée que l'autorité inférieure a refusé de donner son aval à l'octroi d'une autorisation de séjour pour études dans le canton de Vaud. 9.La recourante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par sa décision du 18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