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C-5517/2010 vom 25. August 2011</w:t>
      </w:r>
    </w:p>
    <w:p>
      <w:r>
        <w:t>Bundesverwaltungsgericht, 2011-08-25, FR</w:t>
      </w:r>
    </w:p>
    <w:p>
      <w:r>
        <w:rPr>
          <w:b/>
        </w:rPr>
        <w:t xml:space="preserve">Quelle: </w:t>
      </w:r>
      <w:r>
        <w:t>https://mcp.opencaselaw.ch/entscheid/bvger_C-5517_2010</w:t>
      </w:r>
    </w:p>
    <w:p>
      <w:r>
        <w:t>FR: TAF C-5517/2010 du 25 août 2011</w:t>
      </w:r>
    </w:p>
    <w:p>
      <w:r>
        <w:t>IT: TAF C-5517/2010 del 25 agosto 2011</w:t>
      </w:r>
    </w:p>
    <w:p>
      <w:pPr>
        <w:pStyle w:val="Heading2"/>
      </w:pPr>
      <w:r>
        <w:t>Regeste</w:t>
      </w:r>
    </w:p>
    <w:p>
      <w:r>
        <w:t>Cas individuels d'une extrême gravité</w:t>
      </w:r>
    </w:p>
    <w:p>
      <w:pPr>
        <w:pStyle w:val="Heading2"/>
      </w:pPr>
      <w:r>
        <w:t>Erwägungen</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arrêt du Tribunal fédéral 2A.451/2002 du 28 mars 2003 consid. 1.2 partiellement publié in ATF 129 II 215; ATF 135 II 369 consid. 3.3).</w:t>
      </w:r>
    </w:p>
    <w:p>
      <w:r>
        <w:rPr>
          <w:b/>
        </w:rPr>
        <w:t>E. 3</w:t>
      </w:r>
    </w:p>
    <w:p>
      <w:r>
        <w:t>En vertu de la réglementation au sujet de la répartition des compétences en matière de police des étrangers entre la Confédération et les cantons, si ces derniers doivent se prononcer au préalable sur la délivrance des autorisations de séjour basées sur l'art. 36 OLE, la compétence décisionnelle appartient toutefois à la Confédération, plus particulièrement à l'ODM, qui peut refuser son approbation ou limiter la portée de la décision cantonale (cf. art. 99 LEtr en relation avec les art. 85 et 86 OASA, voir également à cet égard le chiffre 1.3.2 des Directives et Commentaires de l'ODM, en ligne sur le site de l'ODM &gt; Documentation &gt; Bases légales &gt; Directives et commentaires &gt; Domaine des étrangers &gt; Procédure et compétence, version 01.07.2009, consulté en août 2011). Il s'ensuit que ni le Tribunal, ni l'ODM ne sont liés par l'appréciation émise par le Tribunal cantonal vaudois dans son arrêt du 9 septembre 2009 et peuvent parfaitement s'en écarter.</w:t>
      </w:r>
    </w:p>
    <w:p>
      <w:r>
        <w:rPr>
          <w:b/>
        </w:rPr>
        <w:t>E. 4</w:t>
      </w:r>
    </w:p>
    <w:p>
      <w:r>
        <w:t>Tout étranger a le droit de résider sur le territoire suisse s'il est au bénéfice d'une autorisation de séjour ou d'établissement ou si, selon la présente loi, il n'a pas besoin d'une telle autorisation (art. 1a LSEE). L'étranger n'a en principe pas un droit à la délivrance d'une autorisation de séjour ou d'établissement, à moins qu'il ne puisse se prévaloir d'une disposition particulière du droit fédéral ou d'un traité lui conférant un tel droit (ATF 135 II 1 consid. 1.1 p. 3s., ATF 131 II 339 consid. 1 p. 342s. et la jurisprudence citée). A ce propos, il convient d'avoir à l'esprit que la Suisse mène une politique restrictive en matière de séjour des étrangers et d'immigration, notamment dans le but d'assurer un rapport équilibré entre l'effectif de la population suisse et celui de la population étrangère résidante, d'améliorer la situation du marché du travail et de garantir un équilibre optimal en matière d'emploi. En sus des intérêts économiques de la Suisse, les autorités compétentes doivent également tenir compte des intérêts moraux du pays (art. 16 al. 1 LSEE, art. 8 al. 1 RSEE en relation avec l'art. 1 OLE).</w:t>
      </w:r>
    </w:p>
    <w:p>
      <w:r>
        <w:rPr>
          <w:b/>
        </w:rPr>
        <w:t>E. 5</w:t>
      </w:r>
    </w:p>
    <w:p>
      <w:r>
        <w:t>L'OLE régit par ses art. 31 à 36 les conditions de séjour en Suisse des étrangers sans activité lucrative. L'art. 36 OLE dispose que des autorisations de séjour peuvent être accordées à d'autres étrangers n'exerçant pas une activité lucrative lorsque des raisons importantes l'exigent. 6.1. Les « raisons importantes » mentionnées à l'art. 36 OLE constituent une notion juridique indéterminée. Conformément au sens, à l'esprit, au but et à la systématique de la loi (au sens large), elles ne sauraient être admises, lorsqu'un séjour de longue durée à titre humanitaire est envisagé, qu'à des conditions restrictives, en s'inspirant des critères développés par la pratique et la jurisprudence en relation avec les cas personnels d'extrême gravité au sens de l'art. 13 let. f OLE (cf. arrêt du Tribunal administratif fédéral C-6248/2009 du 1er avril 2011 consid. 5.1). Dans la systématique de l'OLE, les art. 13 let. f et 36 ont pour but de régler les cas de rigueur qui surviendraient suite à l'application du système des nombres maximums. Une application moins restrictive de l'art. 36 OLE est à rejeter, compte tenu de l'importance numérique de la catégorie des étrangers sans activité lucrative au sein de la population étrangère résidante et du fait que l'OLE a soumis à des conditions très strictes l'octroi d'autorisations à cette catégorie d'étrangers, et ce en vue d'assurer une stabilisation efficace du nombre des étrangers (cf. arrêt du Tribunal administratif fédéral C-6248/2009 précité consid. 5.1 et jurisprudence citée). 6.2. 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6.3. Dans ce contexte, le simple fait pour un étranger de séjourner en Suisse pendant de longues années, y compris à titre légal, ne permet pas d'admettre un cas personnel d'extrême gravité sans que n'existent d'autres circonstances tout à fait exceptionnelles à même de justifier la reconnaissance d'un cas de rigueur (cf. arrêt du Tribunal fédéral 2A.540/2005 du 11 novembre 2005 consid. 3.2.1, voir également ATAF 2007/16 consid. 7 p. 198). 6.4.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(ATAF précité consid. 5.3 p. 196).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Alain Wurzburger, La jurisprudence récente du Tribunal fédéral en matière de police des étrangers, RDAF I 1997, p. 297/298). Cette pratique différenciée réalise la prise en compte de l'intérêt supérieur de l'enfant, telle qu'elle est prescrite par l'art. 3 al. 1 CDE (cf. arrêt du Tribunal fédéral 2A.679/2006 du 9 février 2007 consid. 3). 6.5. La reconnaissance d'un cas de détresse n'a en outre pas pour but de soustraire un ressortissant étranger aux conditions de vie de son pays d'origine, mais implique que celui-ci se trouve personnellement dans une situation si rigoureuse que l'on ne saurait exiger de lui qu'il continue à y vivre. L'on ne saurait ainsi tenir compte de circonstances générales (économiques, sociales, sanitaires ou scolaires) affectant l'ensemble de la population sur place, sauf si l'intéressé allègue d'importantes difficultés concrètes propres à son cas particulier, telles une maladie grave ne pouvant être soignée qu'en Suisse, par exemple (ATAF 2007/44 consid. 5.3 p. 583 et jurisprudence citée).</w:t>
      </w:r>
    </w:p>
    <w:p>
      <w:r>
        <w:rPr>
          <w:b/>
        </w:rPr>
        <w:t>E. 7</w:t>
      </w:r>
    </w:p>
    <w:p>
      <w:r>
        <w:t>B._______, actuellement âgé de dix ans, est né en Suisse, où il a commencé sa scolarité. Il n'est pas contesté qu'il parle bien le français, qu'il s'est bien adapté au milieu scolaire et social vaudois, si bien qu'un retour en Amérique du Sud entraînerait assurément certaines difficultés. Cependant, son intégration n'est pas à ce point poussée qu'il ne pourrait s'adapter à un nouvel environnement et surmonter un changement de régime scolaire. Son jeune âge et sa capacité d'adaptation ne pourraient que l'aider à supporter ce changement (ATAF 2007/16 consid. 9 p. 200 s.; ATF 123 II 125 et jurisprudence citée; cf. également arrêt du Tribunal administratif fédéral C-279/2006 du 16 octobre 2008 consid. 10.4.1). Au demeurant, il a jusqu'ici toujours vécu avec sa mère (cf. lettre du 1er mars 2005), qui l'a donc vraisemblablement imprégné de la culture de son pays. 8.1. Dans son pourvoi du 2 août 2010, le recourant s'est prévalu du droit au respect de la vie privée et familiale garanti par l'art. 8 CEDH, alléguant qu'il avait une relation étroite et effective avec son fils, qu'il avait assumé ses responsabilités paternelles dès 2003, que la situation de l'intéressé s'apparentait à celle d'un enfant dont les parents avaient institué une garde alternée et qu'il était important pour celui-ci que ses deux parents soient présents. Il a en outre invoqué la fréquence et l'intensité de leurs relations, les liens affectifs entre B._______ et sa demi-soeur et le fait qu'on ne pouvait attendre du recourant qu'il réalise sa vie familiale à l'étranger, soulignant que le droit de visite d'un père colombien vivant en Suisse sur un enfant en Equateur était largement théorique en raison de la distance et des coûts. 8.2. Un étranger peut, selon les circonstances, se prévaloir du droit au respect de sa vie privée et familiale au sens de l'art. 8 par. 1 CEDH (dont la portée est identique à celle de l'art. 13 al. 1 Cst.)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p. 154ss, ATF 135 I 143 consid. 1.3.1 p. 145s., ATF 130 II 281 consid. 3.1 p. 285ss et la jurisprudence citée]). Les relations visées à l'art. 8 CEDH sont avant tout celles qui existent entre époux, ainsi que les relations entre parents et enfants mineurs vivant en ménage commun (famille nucléaire, cf. notamment ATF 135 I 143 consid. 1.3.2 p. 146 et ATF 129 II 11 consid. 2 p. 13s.). Il n'y a toutefois pas atteinte à la vie familiale si l'on peut attendre des membres de la famille qu'ils réalisent leur vie de famille à l'étranger; l'art. 8 CEDH n'est a priori pas violé si le membre de la famille jouissant d'un droit de présence en Suisse peut quitter ce pays sans difficultés avec l'étranger auquel une autorisation de séjour a été refusée (ATF 135 I 143 consid. 2.2 p. 147, 153 consid. 2.1 p. 155). En revanche, si le départ du membre de la famille pouvant rester en Suisse ne peut d'emblée être exigé sans autres difficultés, il y a lieu de procéder à la pesée des intérêts prévue par l'art. 8 par. 2 CEDH. Cette disposition suppose de tenir compte de l'ensemble des circonstances et de mettre en balance l'intérêt privé à l'obtention d'un titre de séjour et l'intérêt public à son refus (cf. arrêt du Tribunal fédéral 2C_327/2010 du 19 mai 2011 consid. 4.1.2, destiné à la publication, et jurisprudence citée; ATF 136 I 285 consid. 5.2 p. 287). En ce qui concerne l'intérêt public, il faut retenir, comme déjà relevé ci-dessus (cf. consid. 4 supra 2ème paragraphe),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(cf. arrêt du Tribunal fédéral 2C_327/2010 précité consid. 4.1.2 et jurisprudence citée). Pour ce qui est de l'intérêt privé à obtenir une autorisation de séjour, l'étranger disposant d'un droit de visite sur son enfant habilité à résider en Suisse peut en principe exercer ce droit même s'il vit à l'étranger, au besoin en aménageant les modalités de celui-ci quant à la fréquence et à la durée. Un droit à une autorisation de séjour fondé sur l'art. 8 CEDH sera toutefois reconnu en présence de liens familiaux particulièrement forts dans les domaines affectif et économique et lorsque, en raison de la distance qui sépare le pays de résidence de l'enfant du pays d'origine de son parent, cette relation ne pourrait pratiquement pas être maintenue. Autre est cependant la situation où, comme en l'espèce, ce n'est pas l'enfant qui bénéficie d'un droit de présence en Suisse, mais bien le parent disposant du droit de visite. Dans une telle situation, où l'enfant est sous l'autorité parentale du parent qui n'a pas de droit de présence en Suisse, force est de considérer qu'il est en principe lié à la communauté familiale de ce dernier, qu'il en partage le destin et que, partant, il doit, cas échéant, le suivre à l'étranger. Dans ces circonstances, l'octroi en faveur de l'enfant d'une autorisation de séjour consacrerait une atteinte à la relation familiale étroite qu'il entretient avec le parent détenteur de l'autorité parentale, sauf à accorder une telle autorisation également à ce dernier, ce qui aurait des conséquences disproportionnées en matière de droit des étrangers (cf. arrêt du Tribunal fédéral 2C_327/2010 précité consid. 4.2.3). 8.3. En l'occurrence, il ressort des pièces du dossier que B._______, âgé de dix ans, vit en Suisse depuis sa naissance avec sa mère qui en a la garde et l'autorité parentale. A cet égard, il sied de relever qu'interrogé le 8 février 2005 par la police municipale de Renens, A._______ a notamment déclaré que C._______ avait refusé de lui signer une décharge pour la garde de leur fils, dès lors qu'elle vivait à Lausanne sans aucune autorisation et que si elle devait quitter la Suisse, elle le ferait avec lui (cf. arrêt du Tribunal cantonal vaudois du 9 septembre 2009 p. 2). Entendu par le SPOP le 22 juin 2009, le prénommé a indiqué qu'il rencontrait régulièrement son fils, lequel vivait avec sa mère, mais dormait tous les week-ends chez lui (cf. arrêt du Tribunal cantonal vaudois précité p. 7). Dans son recours du 2 août 2010, il a allégué prendre désormais son fils tous les week-ends chez lui, du vendredi soir au dimanche soir, ainsi que régulièrement la semaine lorsque son travail le lui permettait. Selon l'épouse du recourant qui vit séparée de ce dernier depuis le 18 juin 2008, A._______ prendrait son fils presque tous les week-ends chez lui, ainsi qu'assez régulièrement la semaine, il s'occuperait alors des devoirs et du souper avant de le ramener à sa mère (cf. écrit du 24 mars 2010 produit à l'appui de la prise de position du 30 avril 2010). Quant à l'actuelle compagne du prénommé, elle a affirmé que celui-ci allait chercher son fils en fin de journée chaque fois qu'il en avait la possibilité et que B._______ restait avec son père du vendredi soir au dimanche soir (cf. écrit du 19 juillet 2010 produit à l'appui du recours précité). Il ressort en outre du dossier que le recourant verse une pension alimentaire mensuelle en faveur de son fils. Au vu de ce qui précède, il n'est guère contestable que l'intéressé entretient, sur le plan affectif et économique, une relation étroite et régulière avec son père. Cependant, malgré ses attaches indéniables avec ce dernier et sa demi-soeur qu'il voit toutes les deux semaines chez son père (cf. arrêt du Tribunal cantonal vaudois précité p. 11), il n'en demeure pas moins que son père n'a pas la garde sur lui. Leur relation n'est ainsi pas aussi étroite que s'ils vivaient en ménage commun et il convient d'admettre que les liens qui unissent B._______ à sa mère sont largement prépondérants compte tenu de son jeune âge et du fait qu'il ne fréquente son père que depuis 2003. Or, ce serait aller trop loin au regard de l'art. 8 CEDH que d'étendre un droit de présence en Suisse à la mère du prénommé, dans le seul but de faciliter l'exercice du droit de visite de A._______, d'autant plus que C._______ a poursuivi illégalement son séjour sur territoire helvétique, nonobstant l'arrêt du TAF du 24 novembre 2007 confirmant la décision de refus d'exception aux mesures de limitation de l'ODM du 10 avril 2007. Ainsi, le Tribunal considère que l'intérêt privé de B._______ à la poursuite des relations avec son père n'est, à l'évidence, pas suffisant à fonder l'octroi d'une autorisation de séjour à lui-même et à sa mère. On ne saurait en effet admettre qu'un départ pour l'Equateur représenterait pour lui un déracinement, car, comme tous les enfants en bas âge, il sera en mesure de s'adapter sans difficultés à son nouvel environnement, d'autant plus qu'il en connaît la langue (cf. courriers de la mère du prénommé des 24 et 27 septembre 2004). Le dossier ne fait par ailleurs pas apparaître l'existence de circonstances personnelles extraordinaires, spécifiques à l'intéressé, qui s'opposeraient à son départ de Suisse. Certes, s'agissant du droit de séjour en Suisse du parent étranger ayant la garde de son enfant suisse, fondé sur la protection de la relation parent/enfant garantie par l'art. 8 CEDH ("regroupement familial inversé", "umgekehrter Familiennachzug"), le Tribunal fédéral a récemment précisé les critères à prendre en considération, en soulignant la nécessité de tenir davantage compte des droits découlant de la nationalité suisse de l'enfant ainsi que de la convention relative aux droits de l'enfant (ATF 135 I 143 consid. 2.3 p. 148, 153 consid. 2.2.2 p. 156 s.; arrêt 2C_2/2009 du 23 avril 2009 consid. 3.2). Toutefois, en l'espèce la situation de l'intéressé ne saurait être comparée à celle d'un enfant suisse, dans la mesure où B._______ est un ressortissant étranger qui séjourne illégalement sur territoire helvétique (cf. arrêt du Tribunal fédéral 2C_327/2010 précité consid. 4.2.2 et 4.2.3). Les contacts que le prénommé entretient avec son père seraient certes rendus plus difficiles par son départ de Suisse. Ils ne seraient toutefois pas exclus, un droit de visite pouvant en principe être exercé même si le parent concerné (non détenteur de l'autorité parentale, respectivement non titulaire du droit de garde) ne vit pas dans le pays de résidence de l'enfant, en aménageant les modalités du droit de visite en conséquence, notamment en ce qui concerne sa fréquence et sa durée (cf. ATF 120 Ib 22 consid. 4a p. 25; cf. également les arrêts du Tribunal fédéral 2A.83/2007 du 16 mai 2007 consid. 3.2, 2A.614/2005 du 20 janvier 2006 consid. 4.2.1, et la jurisprudence citée). Compte tenu de la distance, il est indéniable que le départ de Suisse de l'enfant modifiera de manière importante les relations avec son père. Même s'il s'agit d'un élément important à prendre en compte dans la pesée des intérêts, il ne suffit toutefois pas, à lui seul, à justifier l'octroi en faveur de l'enfant d'une autorisation de séjour. De surcroît, les contacts entre le père et son fils pourront également être maintenus par les moyens de communication modernes. 8.4. Compte tenu de l'ensemble de ces circonstances, on ne saurait ainsi reprocher à l'ODM d'avoir contrevenu aux art. 8 CEDH, 13 Cst. et 17 Pacte ONU II.</w:t>
      </w:r>
    </w:p>
    <w:p>
      <w:r>
        <w:rPr>
          <w:b/>
        </w:rPr>
        <w:t>E. 9</w:t>
      </w:r>
    </w:p>
    <w:p>
      <w:r>
        <w:t>Au demeurant, c'est en vain que le recourant se réfère à l'arrêt Berrehab (arrêt de la Cour européenne des droits de l'homme du 21 juin 1988, Série A, vol. 138, p. 14 ss, par. 22 ss), où la violation de l'art. 8 CEDH a été admise concernant le refus des autorités d'accorder une nouvelle autorisation de séjour après le divorce à un père marocain qui habitait légalement aux Pays-Bas depuis plusieurs années, qui y avait logement et travail, qui avait eu un comportement irréprochable et qui y avait épousé une ressortissante néerlandaise, union de laquelle était issu un enfant, avec lequel il avait des liens très étroits depuis quelques années. Dans cet arrêt, la Cour européenne des droits de l'homme a notamment indiqué qu'elle ne voyait pas dans la vie commune une condition sans laquelle on ne saurait parler de vie familiale entre parents et enfants mineurs, laquelle devait être effective. Elle a par ailleurs considéré que la relation qu'un mariage à la fois légal et non fictif créait entre les époux devait être qualifiée de "vie familiale", même si celle-ci n'était pas encore pleinement établie, et que la notion de famille sur laquelle reposait l'art. 8 CEDH avait pour conséquence qu'un enfant issu de pareille union s'insérait de plein droit dans cette relation; partant, dès l'instant et du seul fait de sa naissance, il existait entre lui et ses parents, même si ces derniers ne cohabitaient pas alors, un lien constitutif d'une "vie familiale". Or, le cas précité se distingue manifestement de celui de l'intéressé, dès lors que les parents avaient officialisé leurs liens par le mariage, que le conjoint étranger avait été mis au bénéfice d'une autorisation de séjour et que l'enfant avait la nationalité néerlandaise.</w:t>
      </w:r>
    </w:p>
    <w:p>
      <w:r>
        <w:rPr>
          <w:b/>
        </w:rPr>
        <w:t>E. 10</w:t>
      </w:r>
    </w:p>
    <w:p>
      <w:r>
        <w:t>Dans ces conditions, le Tribunal considère que c'est à juste titre que l'autorité inférieure a refusé de donner son aval à la délivrance d'une autorisation de séjour en faveur de B._______.</w:t>
      </w:r>
    </w:p>
    <w:p>
      <w:r>
        <w:rPr>
          <w:b/>
        </w:rPr>
        <w:t>E. 11</w:t>
      </w:r>
    </w:p>
    <w:p>
      <w:r>
        <w:t>L'intéressé n'obtenant pas d'autorisation de séjour en Suisse, c'est également à bon droit que l'autorité inférieure a prononcé son renvoi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qui correspond aux motifs de renvoi définis à l'ancien art. 66 al. 1 LEtr (RO 2007 5437; FF 2009 8052). Le recourant ne démontre pas l'existence d'obstacles au départ de son fils, accompagné de sa mère, en Equateur et le dossier ne fait pas non plus apparaître que l'exécution de son renvoi serait illicite, inexigible ou impossible au sens de l'art. 83 al. 2 à 4 LEtr, de sorte que c'est à juste titre que l'ODM a ordonné l'exécution de cette mesure.</w:t>
      </w:r>
    </w:p>
    <w:p>
      <w:r>
        <w:rPr>
          <w:b/>
        </w:rPr>
        <w:t>E. 12</w:t>
      </w:r>
    </w:p>
    <w:p>
      <w:r>
        <w:t>Il ressort de ce qui précède que, par sa décision du 15 juin 2010, l'ODM n'a ni violé le droit fédéral, ni constaté des faits pertinents de manière inexacte ou incomplète ; en outre, la décision attaquée n'est pas inopportune (cf. art. 49 PA). Partant, le recours doit être rejeté. Compte tenu de l'issue de la cause, il y a lieu de mettre les frais de procédure à la charge du recourant (cf. art. 63 al. 1 PA et art. 1 à 3 du règlement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