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C-5511/2012 vom 19. März 2014</w:t>
      </w:r>
    </w:p>
    <w:p>
      <w:r>
        <w:t>Bundesverwaltungsgericht, 2014-03-19, FR</w:t>
      </w:r>
    </w:p>
    <w:p>
      <w:r>
        <w:rPr>
          <w:b/>
        </w:rPr>
        <w:t xml:space="preserve">Quelle: </w:t>
      </w:r>
      <w:r>
        <w:t>https://mcp.opencaselaw.ch/entscheid/bvger_C-5511_2012</w:t>
      </w:r>
    </w:p>
    <w:p>
      <w:r>
        <w:t>FR: TAF C-5511/2012 du 19 mars 2014</w:t>
      </w:r>
    </w:p>
    <w:p>
      <w:r>
        <w:t>IT: TAF C-5511/2012 del 19 marzo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3</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 elle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5.1</w:t>
      </w:r>
    </w:p>
    <w:p>
      <w:r>
        <w:t>La recourante a travaillé en Suisse de 1981 à 1985, a ensuite été assurée à l'assurance facultative des Suisses à l'étranger de 1992 à 2003 et a retravaillé comme employée de commerce en Suisse de 2003 à 2010 (AI pces 40 et 55). Entre novembre 2010 et mars 2012, l'assurée a bénéficié de mesures de réinsertion professionnelle, mais n'a pas pu trouver d'emploi.</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dans la décision du 11 septembre 2012, l'OAIE a rejeté la demande de prestations de l'assurée parce que le degré d'invalidité n'était que de 35 % et ne donnait pas droit à une rente d'invalidité. Il a retenu la méthode mixte (93 % dans la sphère professionnelle et 7 % dans la sphère ménagère) avec un degré d'invalidité est de 33 % pour la sphère professionnelle car l'assurée ne peut plus que travailler à 60 % au lieu de 93% et un degré d'invalidité de 2 % dans la sphère ménagère parce que l'assurée a un empêchement de 34 % dans les travaux ménagers. L'assurée, quant à elle, considère qu'elle ne peut plus que travailler à 50 % et non à 60 %. Elle indique qu'elle est également handicapée pour faire le ménage, mais ne précise pas dans quelle mesure.</w:t>
      </w:r>
    </w:p>
    <w:p>
      <w:r>
        <w:rPr>
          <w:b/>
        </w:rPr>
        <w:t>E. 7.2</w:t>
      </w:r>
    </w:p>
    <w:p>
      <w:r>
        <w:t>Compte tenu des pièces médicales versées au dossier, en particulier de l'expertise du Dr B._______, le Tribunal considère que la capacité résiduelle de travail dans une activité d'employée de bureau est de 60 %, la baisse de rendement étant déjà prise en compte dans cette estimation et une activité d'employée de bureau respectant les limitations fonctionnelles.</w:t>
      </w:r>
    </w:p>
    <w:p>
      <w:r>
        <w:rPr>
          <w:b/>
        </w:rPr>
        <w:t>E. 7.3</w:t>
      </w:r>
    </w:p>
    <w:p>
      <w:r>
        <w:t>Dans son recours, la recourante a argué qu'elle ne pouvait plus que travailler à 50 % et non à 60 %. Elle a indiqué qu'elle était également handicapée pour faire le ménage, mais n'a pas précisé dans quelle mesure.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suite à l'expertise du Dr B._______, d'une capacité résiduelle de travail de 60 % dans une activité d'employée de commerce qui est adaptée aux limitations fonctionnelles n'a pas lieu d'être mise en doute. Un empêchement de 34 % dans la sphère ménagère paraît également correct, compte tenu des limitations fonctionnelles et de l'aide exigible et à retenir du compagnon et de la fille de l'assurée.</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8.3</w:t>
      </w:r>
    </w:p>
    <w:p>
      <w:r>
        <w:t>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28a al. 2 LAI, art. 27 du règlement du 17 janvier 1961 sur l'assurance-invalidité [RAI, RS 831.201] et art. 8 al. 3 LPGA).</w:t>
      </w:r>
    </w:p>
    <w:p>
      <w:r>
        <w:rPr>
          <w:b/>
        </w:rPr>
        <w:t>E. 8.4</w:t>
      </w:r>
    </w:p>
    <w:p>
      <w:r>
        <w:t>Si la personne assurée exerçait une activité professionnelle à temps partiel, il convient de pondérer les deux méthodes en fonction du temps alors attribué à l'activité lucrative et aux activités domestiques. C'est la méthode mixte d'évaluation de l'invalidité (art. 28 al. 2ter LAI et 27bis RAI, selon la version en vigueur jusqu'au 31 décembre 2007; art. 28a al. 3 LAI à compter du 1er janvier 2008).</w:t>
      </w:r>
    </w:p>
    <w:p>
      <w:r>
        <w:rPr>
          <w:b/>
        </w:rPr>
        <w:t>E. 9.1</w:t>
      </w:r>
    </w:p>
    <w:p>
      <w:r>
        <w:t>En l'espèce il y a ainsi lieu de procéder à une évaluation de l'invalidité selon la méthode mixte. En effet, l'intéressée exerçait une activité à temps partiel avec un taux d'occupation de 93 %. Les 7 % restant sont à attribuer à la sphère ménagère. Il s'agit d'une valeur mathématique pour arriver à un total de 100 % et non du temps effectivement nécessaire au ménage. C'est donc à juste titre que l'OAIE a retenu une part de 93 % pour l'activité professionnelle et une part de 7 % pour le ménage. Comme l'assurée pourrait exercer la dernière activité de bureau (ou toute autre activité d'employée de commerce) avec un rendement de 60 % au lieu de 93 %, son empêchement est de 35,5 % (Prozentvergleich: cf. arrêt du Tribunal fédéral 9C_100/2010 du 23 mars 2010 consid. 2.1 et références citées). Il faut donc retenir un degré d'invalidité de 33 % dans la sphère professionnelle (35,5 % x 93 %) et un degré d'invalidité de 2 % (34 % x 7 %) dans la sphère ménagère, ce qui correspond à un degré d'invalidité total de 35 % n'ouvrant pas de droit à une rente d'invalidité. Il appert de ce qui précède que le recours doit être rejeté et la décision attaquée confirmée.</w:t>
      </w:r>
    </w:p>
    <w:p>
      <w:r>
        <w:rPr>
          <w:b/>
        </w:rPr>
        <w:t>E. 9.2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10.2</w:t>
      </w:r>
    </w:p>
    <w:p>
      <w:r>
        <w:t>Les frais de procédure, fixés à 400 francs, sont mis à la charge de la recourante (art. 63 al. 1 PA, applicable par le truchement de l'art. 37 LTAF). Ils sont prélevés sur l'avance de frais du même montant dont elle s'est acquittée au cours de l'instruction.</w:t>
      </w:r>
    </w:p>
    <w:p>
      <w:r>
        <w:rPr>
          <w:b/>
        </w:rPr>
        <w:t>E. 10.3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