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C-550/2010 vom 26. August 2011</w:t>
      </w:r>
    </w:p>
    <w:p>
      <w:r>
        <w:t>Bundesverwaltungsgericht, 2011-08-26, FR</w:t>
      </w:r>
    </w:p>
    <w:p>
      <w:r>
        <w:rPr>
          <w:b/>
        </w:rPr>
        <w:t xml:space="preserve">Quelle: </w:t>
      </w:r>
      <w:r>
        <w:t>https://mcp.opencaselaw.ch/entscheid/bvger_C-550_2010</w:t>
      </w:r>
    </w:p>
    <w:p>
      <w:r>
        <w:t>FR: TAF C-550/2010 du 26 août 2011</w:t>
      </w:r>
    </w:p>
    <w:p>
      <w:r>
        <w:t>IT: TAF C-550/2010 del 26 agosto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s'étant acquitté de l'avance de frais (TAF pce 8),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La décision litigieuse étant datée du 22 décembre 2009, les dispositions de la 5ème révision de la LAI entrées en vigueur le 1er janvier 2008 (RO 2007 5129) sont applicables à la présente cause. Dans ce contexte, on note que les dispositions légales concernant les révisions d'offices suite à une modification de l'état de santé (art. 17 al. 2 LPGA; art. 87ss du règlement du 17 janvier 1961 sur l'assurance-invalidité [RAI, RS 831.201]) n'ont subi aucune modification avec l'entrée en vigueur de la 5ème révision de la LAI.</w:t>
      </w:r>
    </w:p>
    <w:p>
      <w:r>
        <w:rPr>
          <w:b/>
        </w:rPr>
        <w:t>E. 4.2</w:t>
      </w:r>
    </w:p>
    <w:p>
      <w:r>
        <w:t>Il sied à ce stade de souligner que la date de la décision attaquée marque en principe la limite dans le temps du pouvoir d'examen de l'autorité de recours (ATF 129 V 1 consid. 2.1 et ATF 121 V 362 consid. 1b). La documentation médicale postérieure à cette date ne peut donc être prise en compte que dans la mesure où elle permet une meilleure compréhension de la situation médicale de l'assuré avant la date de la décision attaquée.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6.2</w:t>
      </w:r>
    </w:p>
    <w:p>
      <w:r>
        <w:t>L'art. 88a al. 1 RAI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En l'occurrence, le recourant, par décision du 9 juillet 2003, a été mis au bénéfice d'une rente entière d'invalidité à compter du 8 février 2003. Par communication du 30 août 2004, cette rente a été maintenue lors d'une première révision d'office. Or, selon la jurisprudence, une communication a valeur d'une décision entrée en force uniquement si l'autorité a procédé à un examen médical approfondi lors de l'instruction (ATF 133 V 108, consid. 5.4., arrêt du TF du 25 janvier 2011 9C_882/2010 consid. 3.1.; TAF C-2911/2009). En l'espèce, l'OCAI-GE a maintenu la rente entière de l'assuré en se basant uniquement sur un rapport médical du 28 juin 2004, établi par le Dr B.________, médecin traitant de l'assuré. Ce rapport indique un état de santé inchangé sur le plan somatique et psychiatrique mais mentionne que le traitement aux antidépresseurs et anxiolytiques a été stoppé. Il ne ressort pas du dossier que l'office cantonal ait soumis le cas au SMR. En tout état de cause, le Tribunal ne peut pas retenir qu'un examen médical approfondi a eu lieu lors de la première révision de rente en 2004. Par conséquent, la question de savoir si le degré d'invalidité a subi une modification doit être jugée en comparant les faits tels qu'ils se présentaient à l'époque de la décision initiale, soit le 9 juillet 2003 et ceux qui ont existé jusqu'au 22 décembre 2009, date de la décision querellée.</w:t>
      </w:r>
    </w:p>
    <w:p>
      <w:r>
        <w:rPr>
          <w:b/>
        </w:rPr>
        <w:t>E. 8.1</w:t>
      </w:r>
    </w:p>
    <w:p>
      <w:r>
        <w:t>La notion d'invalidité, dont il est question à l'art. 8 LPGA et à l'art. 4 LAI, est de nature juridique et 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8.2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8.3</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8.4</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w:t>
      </w:r>
    </w:p>
    <w:p>
      <w:r>
        <w:rPr>
          <w:b/>
        </w:rPr>
        <w:t>E. 9</w:t>
      </w:r>
    </w:p>
    <w:p>
      <w:r>
        <w:t>En l'espèce, par décision du 9 juillet 2003, l'OCAI-GE a octroyé à A.________ une rente entière d'invalidité dès le 8 février 2003 en raison d'une talalgie sur apronévrosite plantaire avec petit kyste dans l'espace articulaire tibio-tarsien, ainsi qu'un état dépressif réactionnel avec trouble thymique important. L'assuré était alors traité par antidépresseurs et anxiolytiques. Le médecin traitant, le Dr B.________, considère que l'assuré a une capacité résiduelle de travail en position assise sans alternance, sans parcours à pieds de plus de 50 mètres et sans port de charge. Cependant, il déclare l'assuré totalement incapable de travailler dans une activité de substitution en raison des talalgies très importantes et de la "formation très frustre" de l'assuré (rapport médical du 30 avril 2003; OAIE pces 28 et 29). Sur proposition du Dr F.________, médecin de l'OAIE, deux expertises - psychiatriques et rhumatologiques - sont effectuées lors de la révision d'office entreprise en août 2008.</w:t>
      </w:r>
    </w:p>
    <w:p>
      <w:r>
        <w:rPr>
          <w:b/>
        </w:rPr>
        <w:t>E. 10.1</w:t>
      </w:r>
    </w:p>
    <w:p>
      <w:r>
        <w:t>D'un point de vue psychiatrique, il ressort de l'expertise du 23 juin 2009, établie par le Dr G.________, que l'assuré ne présente plus de symptômes dépressifs et qu'il est totalement capable de travailler d'un point de vue psychiatrique (OAIE pce 58 et 60). En outre, le psychiatre relève que l'assuré se dit soucieux et nerveux, mais que celui-ci récuse les symptômes cardinaux de la dépression, ainsi que toute idée suicidaire. Le Dr G.________ relève qu'il peut être raisonnablement exigé de l'assuré qu'il reprenne une activité professionnelle à temps complet, au vu de l'absence de pathologie psychiatrique significative. Il estime qu'il paraît quasiment certain qu'il n'y avait pas de trouble dépressif incapacitant tant en 2002 qu'en août 2004. Selon lui, s'il y avait des arguments pour une pathologie affective en 2003, ce trouble est allé vers la rémission déjà en 2004, sachant qu'il n'y avait alors plus de médication psychotrope. En procédure de recours, le recourant produit un rapport médical du 18 décembre 2009, établi par le Dr J.________, du service psychiatrique de l'hôpital de X.________, indiquant chez l'assuré un épisode dépressif grave sans symptômes psychotiques.</w:t>
      </w:r>
    </w:p>
    <w:p>
      <w:r>
        <w:rPr>
          <w:b/>
        </w:rPr>
        <w:t>E. 10.2</w:t>
      </w:r>
    </w:p>
    <w:p>
      <w:r>
        <w:t>L'expertise du Dr G.________ repose sur une étude complète et circonstanciée de la situation médicale du recourant, ne contient pas d'incohérence et aboutit à des conclusions claires et motivées. Il n'y a, partant, aucune raison de ne pas y accorder foi. En effet, selon la jurisprudence,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w:t>
      </w:r>
    </w:p>
    <w:p>
      <w:r>
        <w:rPr>
          <w:b/>
        </w:rPr>
        <w:t>E. 10.3</w:t>
      </w:r>
    </w:p>
    <w:p>
      <w:r>
        <w:t>Le rapport médical du Dr J.________ est certes plus récent que l'expertise du 23 juin 2009 établie par le Dr G.________, cependant il est extrêmement succinct (une page). Il apparaît que l'assuré a été envoyé pour une première consultation psychiatrique par son médecin traitant auprès du Dr J.________ qui, en se basant sur un bref examen clinique, diagnostique un épisode dépressif grave. Bien qu'il estime que le pronostic de l'assuré soit mauvais en raison des troubles somatiques dont il souffre et de son âge, il ne décrit ni les antécédents de l'assuré, ni l'origine des symptômes dépressifs ou leur évolution. Par contre, le rapport psychiatrique du Dr G.________ est très circonstancié (15 pages) et prend en compte l'historique psychiatrique complet de l'assuré ainsi que son évolution. Par ailleurs, dans sa dernière prise de position, le Dr F.________, relève que l'assuré ne présente pas de symptômes psychotiques et que le diagnostic de dépression majeure grave n'est pas objectivement fondé, ni situé dans le temps. Il estime qu'il s'agit d'une maladie intercurrente s'inscrivant dans le cadre d'une nette amélioration de la santé de l'assuré (OAIE pce 104). Enfin, il sied de souligner que la pathologie psychiatrique a toujours été au second plan dans le cas présent et ne permet pas à elle seule de déclarer l'assuré incapable de travailler. En effet, même le Dr J.________ déclare l'assuré en incapacité de travail en raison de la combinaison des symptômes dépressifs, de l'âge de l'assuré et de ces troubles somatiques.</w:t>
      </w:r>
    </w:p>
    <w:p>
      <w:r>
        <w:rPr>
          <w:b/>
        </w:rPr>
        <w:t>E. 10.4</w:t>
      </w:r>
    </w:p>
    <w:p>
      <w:r>
        <w:t>Par conséquent, le Tribunal estime que l'expertise du 23 juin 2009 a plus de valeur probante que le certificat médical établi par le médecin traitant espagnol du recourant et rejoint le Dr F.________ de l'OAIE lorsqu'il déclare que la santé de l'assuré s'est nettement améliorée et que celui-ci est apte à travailler à 100% dans tout type d'activité.</w:t>
      </w:r>
    </w:p>
    <w:p>
      <w:r>
        <w:rPr>
          <w:b/>
        </w:rPr>
        <w:t>E. 11.1</w:t>
      </w:r>
    </w:p>
    <w:p>
      <w:r>
        <w:t>D'un point de vue rhumatologique, il ressort de l'expertise du 6 juillet 2009, établie par la Dresse H.________, que les troubles initiaux sont guéris et qu'aucune affection médicale ne justifie une incapacité de travail de longue durée et ce depuis 2002. Elle déclare l'assuré capable de travailler dans des activités ne nécessitant pas de monter sur un échelle, ni de porter des charges supérieures à 10 kg de manière répétée ou de travailler à genoux de manière prolongée et ce en raison du déconditionnement de l'assuré dû à un arrêt de travail prolongé et à un mode de vie sédentaire (OAIE pce 79). Quant au recourant, il produit deux rapports médicaux, datés des 19 février et du 4 mai 2009, établis par le Dr I.________ du service de rhumatologie de l'hôpital universitaire de X.________, lui diagnostiquant en sus de la talagie et des problèmes de dépression, une maladie dégénérative axiale et périphérique, une sténose du canal lombaire, une claudication d'origine neurologique, ainsi qu'une lombalgie chronique. Ce médecin conseil le port d'un corset et déclare l'assuré totalement incapable de travailler (OAIE pces 80 et 82). Selon le Dr F.________, médecin de l'OAIE, même si l'on retient le diagnostic de douleurs lombaires et de sténose du canal lombaire, nécessitant le port d'un corset, l'assuré reste capable de travailler à 100% dans des activités de substitution adaptées. Ce médecin maintient que l'état de santé du recourant s'est fondamentalement amélioré depuis le 17 juin 2009. Il avance que les problèmes lombaires du recourant ne limitent pas sa capacité de travail en position assise dans des activités de substitution adaptées et que l'épisode dépressif ne doit être considéré que comme une maladie intercurrente non définie dans le temps par le médecin espagnol (OAIE pces 84, 94 et 104).</w:t>
      </w:r>
    </w:p>
    <w:p>
      <w:r>
        <w:rPr>
          <w:b/>
        </w:rPr>
        <w:t>E. 11.2</w:t>
      </w:r>
    </w:p>
    <w:p>
      <w:r>
        <w:t>D'un point de vue somatique et rhumatologique, il sied de relever que l'expertise de la Dresse H.________ est plus récente et que le rapport médical du Dr I.________ produit par le recourant. Lors de l'expertise entreprise en Suisse, un examen clinique du recourant très complet a été effectué. Le médecin conclut que l'assuré ne souffre d'aucune affection médicale justifiant une incapacité de travail de longue durée. La praticienne relève en outre que l'assuré mène une vie normale de "retraité", que les douleurs en regard du dos et des membres inférieurs décrites par l'assuré sont peu précises et que, lors du descriptif de sa vie quotidienne, l'assuré ne mentionne pas de handicap ou de gêne particulière. Selon ce médecin, l'examen de l'appareil locomoteur est normal. Elle estime que, sur le plan de la talalgie, l'assuré est guéri et que cette affection ne limite plus sa marche. Elle relève que l'assuré n'éprouve aucune motivation à travailler et considère qu'il a subi un déconditionnement en raison de son arrêt de travail prolongé.</w:t>
      </w:r>
    </w:p>
    <w:p>
      <w:r>
        <w:rPr>
          <w:b/>
        </w:rPr>
        <w:t>E. 11.3</w:t>
      </w:r>
    </w:p>
    <w:p>
      <w:r>
        <w:t>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 De plus,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w:t>
      </w:r>
    </w:p>
    <w:p>
      <w:r>
        <w:rPr>
          <w:b/>
        </w:rPr>
        <w:t>E. 11.4</w:t>
      </w:r>
    </w:p>
    <w:p>
      <w:r>
        <w:t>L'expertise rhumatologique repose sur une étude complète et circonstanciée de la situation médicale du recourant, et aboutit à un résultat cohérent et motivé. Quant au Dr I.________, il déclare l'assuré totalement incapable de travailler uniquement en raison des plaintes subjectives de celui-ci, sans autres indications objectives, notamment une description des capacités fonctionnelles de l'assuré. Par ailleurs, selon la jurisprudence, le fait que le recourant ne puisse mettre en valeur sa capacité de travail pour des raisons étrangères à l'invalidité ne relève pas de l'assurance-invalidité,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w:t>
      </w:r>
    </w:p>
    <w:p>
      <w:r>
        <w:rPr>
          <w:b/>
        </w:rPr>
        <w:t>E. 11.5</w:t>
      </w:r>
    </w:p>
    <w:p>
      <w:r>
        <w:t>Partant, il n'y a aucune raison de s'écarter de l'expertise rhumatologique établie par la Dresse H.________ et le Tribunal retient que, d'un point de vue rhumatologique, l'assuré conserve une capacité de travail entière dans des activités de substitution adaptées, ne nécessitant pas de monter sur un échelle, ni de porter des charges supérieures à 10 kg de manière répétée ou de travailler à genoux de manière prolongée.</w:t>
      </w:r>
    </w:p>
    <w:p>
      <w:r>
        <w:rPr>
          <w:b/>
        </w:rPr>
        <w:t>E. 12</w:t>
      </w:r>
    </w:p>
    <w:p>
      <w:r>
        <w:t>Eu égard à tout ce qui précède, le Tribunal se doit de retenir que le recourant retrouve une capacité de travail entière dans une activité de substitution adaptée à son état de santé depuis le 17 juin 2009 et rejoint le médecin de l'OAIE dans ses prises de position médicales des 28 juillet 2009, 5 décembre 2009 et 13 avril 2010.</w:t>
      </w:r>
    </w:p>
    <w:p>
      <w:r>
        <w:rPr>
          <w:b/>
        </w:rPr>
        <w:t>E. 13.1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13.2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13.3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13.4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14.1</w:t>
      </w:r>
    </w:p>
    <w:p>
      <w:r>
        <w:t>In casu, l'assuré a cessé tout activité professionnelle dès le 7 février 2002 suite à un accident de travail dans son activité de nettoyeur. Pour définir le salaire avant invalidité, il faut donc se référer aux revenus concrètement perçus par l'intéressé au moment de la survenance de l'incapacité, indexés jusqu'à 2009, à savoir au jour de la décision attaquée. Selon le questionnaire rempli par son dernier employeur, le revenu annuel moyen que le recourant percevait (ou aurait dû percevoir) en 2002 s'élève à Fr. 49'776.-- (OAIE pce 20). Il convient d'indexer ce montant à l'année 2009 par l'indice des salaires nominaux, des prix à la consommation et des salaires réels, 1976-2010 (Office fédéral de la statistique, Indice suisse des salaires, indices des prix à la consommation). Le salaire annuel sans invalidité du recourant est ainsi de Fr. 55'003.-- ([49'776.-x 2136] / 1933), soit un salaire mensuel de Fr. 4'583.50.--.</w:t>
      </w:r>
    </w:p>
    <w:p>
      <w:r>
        <w:rPr>
          <w:b/>
        </w:rPr>
        <w:t>E. 14.2</w:t>
      </w:r>
    </w:p>
    <w:p>
      <w:r>
        <w:t>Les activités de substitution proposées par le service médical de l'OAIE exigibles à 100%, ne nécessitant pas de monter sur une échelle, ni de porter des charges supérieures à 10 kg de manière répétée ou de travailler à genoux de manière prolongée, sont des activités de surveillance, de caissier, de vendeur de billet ou de scannage de données (OAIE pces 79 et 84). Dès lors, afin de déterminer le salaire après invalidité, il sied de se baser sur le salaire moyen d'un ouvrier effectuant des activités simples et répétitives, ne nécessitant pas de connaissances spécifiques, dans le domaine de services collectifs et personnels, dans le commerce de détail, ainsi que dans des activités administratives simples. Selon l'ESS 2008, table TA1, niveau 4, il en résulte un salaire mensuel moyen de Fr. 4'439.-- pour 40h/semaine ([4'291.-- + 4'436.-- + 4'591 ] / 3). Ce montant indexé à 2009 selon les tables B 9.2 et B 10.2 de la Vie économique (Revue de politique économique 5-2011), il en résulte un salaire invalide de Fr. 4'532.-- pour 40h/semaine, soit de Fr. 4'724.-- pour 41.7h/semaine, (temps de travail hebdomadaire moyen en 2009, toutes professions confondues).</w:t>
      </w:r>
    </w:p>
    <w:p>
      <w:r>
        <w:rPr>
          <w:b/>
        </w:rPr>
        <w:t>E. 14.3</w:t>
      </w:r>
    </w:p>
    <w:p>
      <w:r>
        <w:t>Eu égard à l'âge de l'assuré au moment de la décision contestée (57 ans) et à son handicap laissant place à des activités de substitution légères, le Tribunal considère que l'on peut suivre l'OAIE en appliquant au salaire d'invalide un taux de réduction de 20%, l'abaissement maximal admis par la jurisprudence étant de 25% (ATF 126 V 75). Ainsi, le salaire invalide de A.________ se monte à Fr. 3'779.-- par mois. La comparaison du revenu sans invalidité de Fr. 4'610.50 au revenu invalide mensuel de Fr. 3'779.--, fait apparaître un préjudice économique de 17.55 % (([4'583.50 - 3'779] x 100) / 4'583.50), taux insuffisant pour l'octroi d'une rente d'invalidité.</w:t>
      </w:r>
    </w:p>
    <w:p>
      <w:r>
        <w:rPr>
          <w:b/>
        </w:rPr>
        <w:t>E. 14.4</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14.5</w:t>
      </w:r>
    </w:p>
    <w:p>
      <w:r>
        <w:t>Au vu de ce qui précède, le recours du 27 janvier 2010 doit être rejeté et la décision du 22 décembre 2009 de l'autorité intimée confirmée.</w:t>
      </w:r>
    </w:p>
    <w:p>
      <w:r>
        <w:rPr>
          <w:b/>
        </w:rPr>
        <w:t>E. 15</w:t>
      </w:r>
    </w:p>
    <w:p>
      <w:r>
        <w:t>Les frais de procédure, fixés à Fr. 300.-, sont mis à la charge du recourant (art. 63 al. 1 PA, applicable par le truchement de l'art. 37 LTAF). Ils sont compensés par l'avance de frais dont il s'est acquitté au cours de l'instruction. Vu l'issue du litige, il n'est pas alloué de dépens (art. 7 al. 1 a contrario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