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C-5506/2012 vom 13. Februar 2014</w:t>
      </w:r>
    </w:p>
    <w:p>
      <w:r>
        <w:t>Bundesverwaltungsgericht, 2014-02-13, DE</w:t>
      </w:r>
    </w:p>
    <w:p>
      <w:r>
        <w:rPr>
          <w:b/>
        </w:rPr>
        <w:t xml:space="preserve">Quelle: </w:t>
      </w:r>
      <w:r>
        <w:t>https://mcp.opencaselaw.ch/entscheid/bvger_C-5506_2012</w:t>
      </w:r>
    </w:p>
    <w:p>
      <w:r>
        <w:t>FR: TAF C-5506/2012 du 13 février 2014</w:t>
      </w:r>
    </w:p>
    <w:p>
      <w:r>
        <w:t>IT: TAF C-5506/2012 del 13 febbraio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des Bundesgesetzes vom 21. März 1973 über Sozialhilfe und Darlehen an Schweizer Staatsangehörige im Ausland (BSDA, SR 852.1).</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 Wird ein Gesuch um wiederkehrende Sozialhilfeleistungen auf dieser Grundlage gutgeheissen, entspricht die Höhe der auszurichtenden Leistungen dem festgestellten Fehlbetrag (vgl. Art. 9 Abs. 1 VSDA).</w:t>
      </w:r>
    </w:p>
    <w:p>
      <w:r>
        <w:rPr>
          <w:b/>
        </w:rPr>
        <w:t>E. 3.3</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VSDA. Dabei sind namentlich zu beachten: die Umstände, welche zum Erwerb des ausländischen Bürgerrechts geführt haben (Bst. a), der Aufenthaltsstaat während der Kindheit und der Ausbildungszeit (Bst. b), die Dauer des Aufenthalts im jetzigen Aufenthaltsstaat (Bst. c) und die Beziehung zur Schweiz (Bst. d). Art. 2 Abs. 2 VSDA hält fest, dass in Notfällen nach Art. 25 das Schweizer Bürgerrecht als vorherrschend gilt.</w:t>
      </w:r>
    </w:p>
    <w:p>
      <w:r>
        <w:rPr>
          <w:b/>
        </w:rPr>
        <w:t>E. 4.1</w:t>
      </w:r>
    </w:p>
    <w:p>
      <w:r>
        <w:t>Die Vorinstanz ging noch in der angefochtenen Verfügung - gestützt auf die unkorrekten Angaben im Unterstützungsgesuch vom 21. August 2012 - davon aus, dass sich der Beschwerdeführer insgesamt nur sechs Jahre in der Schweiz aufgehalten habe und bei ihm demnach das ausländische Bürgerrecht überwiege. Nachdem sich herausgestellt hatte, dass er die ersten vierzig Jahre in der Schweiz verbrachte und erst 1998 in die USA zog, klärte die Vorinstanz die Situation im Rahmen des Vernehmlassungsverfahrens neu ab und schloss nun zu Recht auf ein vorherrschendes Schweizer Bürgerrecht. Trotzdem hielt sie am Ergebnis der angefochtenen Verfügung fest (keine Ausrichtung einer finanziellen monatlichen Unterstützung).</w:t>
      </w:r>
    </w:p>
    <w:p>
      <w:r>
        <w:rPr>
          <w:b/>
        </w:rPr>
        <w:t>E. 4.2</w:t>
      </w:r>
    </w:p>
    <w:p>
      <w:r>
        <w:t>Die Vertreterin des Beschwerdeführers machte noch am 4. April 2013 gegenüber der Schweizerischen Vertretung in Los Angeles geltend, dass - nebst der von der amerikanischen Krankenversicherung übernommen monatlichen Pflege- und Unterhaltskosten von USD 11'000.- und der IV-Rente aus der Schweiz - nicht gedeckte Kosten von USD 100.- bis 200.- pro Monat für den Arzt und auch nicht vergütete Auslagen für Hygieneartikel bestehen würden. Trotz mehrfacher Aufforderung durch die Schweizerische Vertretung reichte die Vertreterin jedoch die in Aussicht gestellten Belege über angeblich nicht gedeckte Kosten nicht ein. Sie hat auch nicht gehandelt, als das Bundesverwaltungsgericht ihr am 28. Mai 2013 das Replikrecht gewährt und ihr die Möglichkeit eingeräumt hatte, bis zum 27. Juni 2013 entsprechende Beweismittel nachzureichen. Somit wurde der Nachweis der Bedürftigkeit des Beschwerdeführers als Voraussetzung für die Ausrichtung von Sozialhilfe gemäss Art. 5 BSDA nicht erbracht. Der Umstand, dass dem Beschwerdeführer nach dem Entscheid der IV-Stelle die ausstehenden Renten von Oktober 2012 bis und mit April 2013 offenbar erst im April 2013 überwiesen wurden, und die anschliessende Untätigkeit der Vertreterin lassen vielmehr den Schluss zu, dass gar keine ungedeckten Kosten mehr vorhanden waren bzw. sind.</w:t>
      </w:r>
    </w:p>
    <w:p>
      <w:r>
        <w:rPr>
          <w:b/>
        </w:rPr>
        <w:t>E. 5</w:t>
      </w:r>
    </w:p>
    <w:p>
      <w:r>
        <w:t>Zusammenfassend ergibt sich, dass die Vorinstanz die Ausrichtung einer finanziellen monatlichen Unterstützung mangels Bedürftigkeit des Beschwerdeführers zu Recht verweigert hat. Demnach gelangt das Bundesverwaltungsgericht zum Schluss, dass die angefochtene Verfügung im Ergebnis Bundesrecht nicht verletzt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