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C-5499/2011 vom 10. April 2014</w:t>
      </w:r>
    </w:p>
    <w:p>
      <w:r>
        <w:t>Bundesverwaltungsgericht, 2014-04-10, FR</w:t>
      </w:r>
    </w:p>
    <w:p>
      <w:r>
        <w:rPr>
          <w:b/>
        </w:rPr>
        <w:t xml:space="preserve">Quelle: </w:t>
      </w:r>
      <w:r>
        <w:t>https://mcp.opencaselaw.ch/entscheid/bvger_C-5499_2011</w:t>
      </w:r>
    </w:p>
    <w:p>
      <w:r>
        <w:t>FR: TAF C-5499/2011 du 10 avril 2014</w:t>
      </w:r>
    </w:p>
    <w:p>
      <w:r>
        <w:t>IT: TAF C-5499/2011 del 10 aprile 2014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interjeté par l'intéressée en date du 4 octobre 2011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2012/21 consid. 5.1, ATAF 2011/43 consid. 6.1 et ATAF 2011/1 consid. 2).</w:t>
      </w:r>
    </w:p>
    <w:p>
      <w:r>
        <w:rPr>
          <w:b/>
        </w:rPr>
        <w:t>E. 3</w:t>
      </w:r>
    </w:p>
    <w:p>
      <w:r>
        <w:t>L'ODM a prononcé à l'encontre de A._______, ressortissant portugais, une interdiction d'entrée en Suisse en application de l'art. 67 LEtr au motif que le prénommé avait attenté à l'ordre et à la sécurité publics en raison des infractions commises contre la LStup. Selon l'art. 67 al. 2 let. a LEtr, entré en vigueur le 1er janvier 2011, l'ODM peut interdire l'entrée en Suisse à un étranger lorsque ce dernier a attenté à la sécurité et à l'ordre publics en Suisse ou à l'étranger ou les a mis en danger.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3.1</w:t>
      </w:r>
    </w:p>
    <w:p>
      <w:r>
        <w:t>Aux termes de son art. 2 al. 2, la LEtr n'est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 L'ALCP ne réglemente pas en tant que telle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w:t>
      </w:r>
    </w:p>
    <w:p>
      <w:r>
        <w:rPr>
          <w:b/>
        </w:rPr>
        <w:t>E. 3.2</w:t>
      </w:r>
    </w:p>
    <w:p>
      <w:r>
        <w:t>Comme précisé dans cet ATF 139 II précité au considérant 5.3, dès lors qu'une mesure d'interdiction d'entrée en Suisse restreint la libre circulation des personnes, l'interdiction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ou de sécurité publics.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précité, consid. 5.3, et ATF 136 II 5 consid. 4.2).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précité, ibid. et ATF 136 II précité,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A cet égard, le Tribunal fédéral se montre particulièrement rigoureux en présence d'infractions à la LStup, étant précisé que la commission d'infractions qui sont en étroite relation avec la toxicomanie du délinquant peuvent, selon les circonstances, atténuer cette position de principe (cf. ATF 139 II précité, ibid., et ATF 136 II précité, ibid.)</w:t>
      </w:r>
    </w:p>
    <w:p>
      <w:r>
        <w:rPr>
          <w:b/>
        </w:rPr>
        <w:t>E. 3.3</w:t>
      </w:r>
    </w:p>
    <w:p>
      <w:r>
        <w:t>Par conséquent, il faut, pour faire l'objet d'une interdiction d'entrée en application de l'art. 67 al. 2 let. a LEtr, que le ressortissant d'un Etat partie à l'ALCP, représente une menace d'une certaine gravité pour l'ordre et la sécurité publics de nature à le priver de son droit d'entrer en Suisse au sens de l'art. 5 annexe I ALCP.</w:t>
      </w:r>
    </w:p>
    <w:p>
      <w:r>
        <w:rPr>
          <w:b/>
        </w:rPr>
        <w:t>E. 4.1</w:t>
      </w:r>
    </w:p>
    <w:p>
      <w:r>
        <w:t>A l'examen du dossier, il appert que A._______ a régulièrement occupé les forces de l'ordre public, à partir de 2000, pour des infractions liées en particulier à la LStup. Il a ainsi été condamné une première fois en 2000 à 5 mois d'emprisonnement, puis en 2006, à 15 mois d'emprisonnement avec sursis, en 2008 (10 mois), en 2009 (6 mois), en 2010 (9 mois), en 2012 (75 jours) et, en dernier lieu, en 2013 (120 jours). Dans son mémoire de recours, introduit en octobre 2011, l'intéressé prétendait ne plus consommer de stupéfiants depuis de nombreux mois et s'être éloigné du milieu social l'ayant amené à commettre de telles infractions, de sorte que le Tribunal pouvait raisonnablement considérer qu'il n'en commettrait pas de nouvelles, sa situation personnelle étant de surcroît totalement différente de celle ayant conduit à sa condamnation en 2008. Force est cependant de constater que les faits démentent les déclarations de l'intéressé, ce dernier n'ayant manifestement pas été à même de se soustraire à sa dépendance aux stupéfiants, en dépit de ce qu'il a allégué dans son mémoire de recours.</w:t>
      </w:r>
    </w:p>
    <w:p>
      <w:r>
        <w:rPr>
          <w:b/>
        </w:rPr>
        <w:t>E. 4.2</w:t>
      </w:r>
    </w:p>
    <w:p>
      <w:r>
        <w:t>Au regard du comportement délictueux que l'intéressé a adopté depuis 2000, il n'est pas contestable que ses agissements constituent non seulement un trouble à l'ordre social mais encore affectent gravement un intérêt fondamental de la société. C'est le lieu de rappeler que la pratique sévère adoptée par les autorités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à cet égard, l'arrêt du Tribunal administratif fédéral C-6835/2011 du 28 février 2013 consid. 5.1 et les arrêts cités). A ce stade, il y a donc lieu de retenir que le recourant, quoiqu'il en dise, s'est rendu coupable d'infractions qui présentent objectivement une menace réelle et dont on ne saurait contester qu'elles affectent un intérêt fondamental de la société au sens de la jurisprudence de la Cour de Justice de l'Union européenne.</w:t>
      </w:r>
    </w:p>
    <w:p>
      <w:r>
        <w:rPr>
          <w:b/>
        </w:rPr>
        <w:t>E. 4.3</w:t>
      </w:r>
    </w:p>
    <w:p>
      <w:r>
        <w:t>Il convient encore d'examiner si cette menace est toujours d'actualité. En l'espèce, on ne saurait nier que l'intéressé a contribué à la mise en circulation d'importantes quantités de stupéfiants (selon les différents jugements résumés ci-dessus, l'intéressé a mis en vente près de 6'800 pièces d'amphétamines thaïes), à tout le moins jusqu'en décembre 2009, mettant ainsi directement ou indirectement en danger la santé de nombreuses personnes au sens de l'art. 19 al. 2 let. a LStup. Lors des jugements prononcés en mai 2006 et en septembre 2008, l'autorité judiciaire a expressément considéré que le cas grave était réalisé, tout en retenant une restriction de la responsabilité de l'intéressé, compte tenu de sa dépendance aux stupéfiants. Dans son jugement de décembre 2010, l'autorité de jugement a constaté que l'intéressé n'avait pas été en mesure de s'amender et a retenu que si le cas grave n'avait pas été réalisé durant la période de faits recouverts par la procédure engagée à l'encontre de l'intéressé, il était à mettre uniquement sur le compte de l'arrestation de ce dernier. Il faut toutefois porter au crédit de l'intéressé que les jugements rendus à son encontre en juillet 2012 et en avril 2013 ne font plus état de vente de produits stupéfiants, mais uniquement de consommation de ceux-ci. Force est donc de constater que l'intéressé, depuis la condamnation prononcée en novembre 2000, a régulièrement occupé les services de la justice pour des infractions liées directement ou indirectement à sa consommation de stupéfiants. Il présente ainsi un profil de délinquant récidiviste, avec un risque certain de commettre de nouvelles infractions puisqu'il est sans travail depuis sa sortie de prison, en 2011, et qu'il n'est plus soutenu financièrement par ses parents depuis mai 2012 (cf. procès-verbal d'audition du 2 juillet 2012). D'ailleurs, l'ordonnance de condamnation du 2 juillet 2012 retient que l'intéressé s'est procuré des stupéfiants auprès de plusieurs inconnus avec le produit des vols commis. Ces éléments (dépendance aux stupéfiants, absence de travail et de soutien familial) ne laissent donc pas augurer - de prime abord - d'une réinsertion de l'intéressé dans la société civile, de sorte qu'il faut reconnaître que la menace qu'il constitue conserve son caractère d'actualité.</w:t>
      </w:r>
    </w:p>
    <w:p>
      <w:r>
        <w:rPr>
          <w:b/>
        </w:rPr>
        <w:t>E. 4.4</w:t>
      </w:r>
    </w:p>
    <w:p>
      <w:r>
        <w:t>Sur le principe, le prononcé d'une interdiction d'entrée en Suisse à l'encontre de l'intéressé au sens de l'art. 67 al. 2 let. a LEtr en relation avec l'art. 5 annexe I ALCP est ainsi justifié.</w:t>
      </w:r>
    </w:p>
    <w:p>
      <w:r>
        <w:rPr>
          <w:b/>
        </w:rPr>
        <w:t>E. 4.5</w:t>
      </w:r>
    </w:p>
    <w:p>
      <w:r>
        <w:t>L'intéressé étant un ressortissant portugais, il convient encore d'examiner dans quelle mesure la durée de l'interdiction d'entrée prononcée à son encontre, ramenée de 20 à 10 ans par l'ODM, mais toujours supérieure à la limite maximale de 5 ans fixée par l'art. 67 al. 3 première phrase LEtr, respecte les conditions légales. En effet, ainsi que l'a retenu le Tribunal fédéral dans l'arrêt rendu le 22 février 2013 (ATF 139 II précité ad consid. 6), il faut distinguer, dans l'application de l'art. 67 al. 3 première phrase LEtr, selon que la personne concernée est au bénéfice ou non de l'ALCP. Si celle-ci est originaire d'un pays tiers, elle pourra être frappée d'une interdiction d'entrée en Suisse pour une durée maximale de cinq ans au sens de l'art. 67 al. 2 let. a et al. 3 première phrase LEtr, si elle a attenté à la sécurité et à l'ordre publics en Suisse ou à l'étranger ou encore si elle les a mis en danger (palier défini par le Tribunal fédéral comme le "palier I"; cf. ATF 139 II 121 consid. 6.1), alors que si elle est au bénéfice de l'ALCP, la menace qu'elle représente pour l'ordre et la sécurité publics doit être d'une certaine gravité, soit dépasser la simple mise en danger de l'ordre public (palier désigné par le Tribunal fédéral comme le "palier I bis). Quant à la menace grave au sens de l'art. 67 al. 3 seconde phrase LEtr, qui justifierait le prononcé d'une interdiction d'entrée en Suisse pour une durée supérieure à 5 ans, elle doit nécessairement atteindre un degré de gravité supérieur à la "mise en danger" ou "atteinte" (palier I), respectivement à la "menace d'une certaine gravité" (palier I bis), constituant ainsi un palier supplémentaire dans la gradation (palier désigné par le Tribunal fédéral comme le palier II; cf. ATF 139 II précité consid. 6.3). Toujours selon le Tribunal fédéral, par rapport à la notion découlant de l'art. 5 annexe I ALCP, le terme de "menace grave" de l'art. 67 al. 3 seconde phrase LEtr présuppose l'existence d'une menace caractérisée. Ce degré de gravité particulier, dont il est prévu que l'application demeurera exceptionnelle, doit s'examiner au cas par cas, en tenant compte de tous les éléments pertinents au dossier. Il peut en particulier dériver de la nature du bien juridique menacé (par exemple :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(consid. 6.3).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(cf. ATF 139 précité consid. 6.2 in fine).</w:t>
      </w:r>
    </w:p>
    <w:p>
      <w:r>
        <w:rPr>
          <w:b/>
        </w:rPr>
        <w:t>E. 4.6</w:t>
      </w:r>
    </w:p>
    <w:p>
      <w:r>
        <w:t>En l'espèce, il appert que l'intéressé a été, à partir de 2000, condamné à diverses infractions, notamment à la LStup et ce, jusqu'à récemment encore, cumulant de la sorte un total de 51 mois et de 21 jours d'emprisonnement. Certes, ainsi que l'a retenu le Tribunal fédéral dans l'ATF 139 II précité, il convient de tenir compte, dans l'analyse du cas d'espèce, de ce que la plupart des récidives et des infractions à la LStup mises à l'actif de l'intéressé sont en lien avec sa propre consommation de drogue, de sorte que le critère aggravant de la vente de stupéfiants se doit d'être relativisé (cf. ATF 139 II précité, consid. 6.4). Cela étant, il apparaît que A._______ n'est pas en mesure de se distancer du milieu de la drogue. A cela s'ajoute, comme le relevaient les signataires du rapport rédigé le 20 avril 2009 (cf. lettre C.a ci-dessus), que l'intéressé sous-estime son degré de dépendance aux stupéfiants, faisant au contraire preuve d'une certaine désinvolture, un tel comportement l'amenant à réitérer des actes répréhensibles, indépendamment de leurs conséquences sur le plan pénal. Les jugements de mai 2006 et septembre 2008 retenaient d'ailleurs que l'intéressé avait une véritable dépendance à la drogue et que le trafic auquel il avait participé était en grande partie la conséquence de sa consommation, raison pour laquelle ils lui avaient reconnu une responsabilité restreinte. L'intéressé n'a toutefois pas saisi ces opportunités pour modifier son comportement et le fait qu'il est père d'une enfant depuis 2005, à laquelle il dit tenir, n'a pas eu davantage d'influence sur lui. Bien au contraire, la condamnation prononcée à son encontre en septembre 2010 lui reconnaît une responsabilité lourde, aucun élément au dossier ne permettant, de l'avis du juge compétent, de retenir une diminution de celle-ci ou une dépendance avérée aux stupéfiants. Aussi, même s'il doit être constaté que l'intéressé n'a pas fait preuve d'un comportement qui se démarquerait par une attitude ou un mode opératoire particulièrement odieux ou propre à la criminalité organisée (cf. ATF 139 II précité consid. 6.3 en combinaison avec le consid. 6.4), il faut cependant relever à charge son incapacité à s'éloigner du milieu de la drogue. Et s'il a certes mis fin au trafic, suite à la condamnation prononcée le 21 décembre 2010, il n'en a pas moins continué à commettre des délits, aux fins de se procurer des produits stupéfiants. Aussi, en raison d'un cumul de délits - auxquels seul le départ de Suisse de l'intéressé a mis un terme - ainsi que de l'absence - en l'état - d'un pronostic favorable, il convient d'admettre que le palier II, qui présuppose une menace caractérisée, est, en l'espèce atteint, de sorte que la limite de la durée maximale prévue à l'art. 67 al. 3 première phrase LEtr peut être franchie.</w:t>
      </w:r>
    </w:p>
    <w:p>
      <w:r>
        <w:rPr>
          <w:b/>
        </w:rPr>
        <w:t>E. 4.7</w:t>
      </w:r>
    </w:p>
    <w:p>
      <w:r>
        <w:t>Il convient encore d'examiner dans quelle mesure la nouvelle durée de 10 ans, fixée par l'ODM ensuite de sa reconsidération en date du 23 août 2013 de la décision du 22 août 2011, est adéquate et proportionnée aux circonstances. Sous cet angle, et au vu de l'ensemble des éléments objectifs et subjectifs de la cause (en particulier le fait que l'intéressé est avant tout un consommateur de drogue, qu'il a mis un terme à son activité de trafiquant suite à la condamnation prononcée à son encontre le 21 décembre 2010 et qu'il s'est finalement soumis à l'obligation de quitter la Suisse), le Tribunal estime que la durée de l'interdiction d'entrée telle que reconsidérée par l'autorité inférieure en date du 23 août 2013 n'est pas adéquate et qu'il convient de la ramener à une période de 7 ans. Cette durée de 7 ans apparaît également comme proportionnée aux circonstances, en application de l'ALCP ainsi que de l'art. 8 CEDH. En effet, quand bien même l'intéressé se réclame des liens qu'il dit entretenir ponctuellement avec sa fille (cf. à ce sujet le procès-verbal d'audition du 2 juillet 2012), née en 2005, ceux-ci ne sauraient supplanter l'intérêt public à son éloignement de la Suisse pendant une durée de 7 ans, compte tenu du risque de récidive qu'il présente malgré tout, eu égard à sa dépendance aux stupéfiants et à la délinquance qui y est liée. Ces derniers éléments font que l'on ne saurait qualifier son intégration en Suisse de bonne et ce, en dépit de la durée de son séjour dans ce pays. Dans ces circonstances, il peut être attendu de l'intéressé qu'il demeure éloigné de la Suisse pour une durée de 7 ans.</w:t>
      </w:r>
    </w:p>
    <w:p>
      <w:r>
        <w:rPr>
          <w:b/>
        </w:rPr>
        <w:t>E. 4.8</w:t>
      </w:r>
    </w:p>
    <w:p>
      <w:r>
        <w:t>En conséquence, au vu de la gravité des actes reprochés à l'intéressé et de l'importance du risque de récidive que laisse redouter son passé judiciaire, il s'impose de retenir qu'une mesure d'interdiction d'entrée pour une durée de 7 ans, à savoir jusqu'au 21 août 2018, apparaît comme nécessaire, adéquate et proportionnée en vue de bannir la menace que représente l'intéressé pour l'ordre et la sécurité publics.</w:t>
      </w:r>
    </w:p>
    <w:p>
      <w:r>
        <w:rPr>
          <w:b/>
        </w:rPr>
        <w:t>E. 5.1</w:t>
      </w:r>
    </w:p>
    <w:p>
      <w:r>
        <w:t>Partant, le recours est partiellement admis et la décision de l'ODM du 22 août 2011 est réformée en ce sens que les effets de l'interdiction d'entrée en Suisse sont limités au 21 août 2018.</w:t>
      </w:r>
    </w:p>
    <w:p>
      <w:r>
        <w:rPr>
          <w:b/>
        </w:rPr>
        <w:t>E. 5.2</w:t>
      </w:r>
    </w:p>
    <w:p>
      <w:r>
        <w:t>Par décision incidente du 30 novembre 2011, le recourant a été mis au bénéfice de l'assistance judiciaire totale, si bien qu'il n'est pas perçu de frais de procédure.</w:t>
      </w:r>
    </w:p>
    <w:p>
      <w:r>
        <w:rPr>
          <w:b/>
        </w:rPr>
        <w:t>E. 5.3</w:t>
      </w:r>
    </w:p>
    <w:p>
      <w:r>
        <w:t>Le recourant a par ailleurs droit à des dépens réduits (art. 64 al. 1 PA en relation avec l'art. 7 al. 2 du règlement du 11 décembre 2006 concernant les frais, dépens et indemnités fixés par le Tribunal administratif fédéral [FITAF; RS 173.320.2]).</w:t>
      </w:r>
    </w:p>
    <w:p>
      <w:r>
        <w:rPr>
          <w:b/>
        </w:rPr>
        <w:t>E. 5.3.1</w:t>
      </w:r>
    </w:p>
    <w:p>
      <w:r>
        <w:t>Le recourant n'obtenant que partiellement gain de cause, le TAF considère, au regard des art. 8 et ss FITAF, que le versement d'un montant de 600 francs à titre de dépens apparaît comme équitable en la présente procédure.</w:t>
      </w:r>
    </w:p>
    <w:p>
      <w:r>
        <w:rPr>
          <w:b/>
        </w:rPr>
        <w:t>E. 5.3.2</w:t>
      </w:r>
    </w:p>
    <w:p>
      <w:r>
        <w:t>Le mandataire du recourant ayant été désigné comme avocat d'office pour la présente procédure, il y a lieu d'allouer au recourant une indemnité pour les honoraires non couverts par les dépens qui lui sont alloués (art. 8 à 10 en relation avec l'art. 12 et l'art. 14 FITAF). Le recourant a l'obligation de rembourser ce montant s'il revient à meilleure fortune, conformément à l'art. 65 al. 4 PA. Tenant compte de l'ensemble des circonstances du cas, le TAF estime, au regard des art. 8 et ss FITAF, que le versement d'une indemnité à titre d'honoraires s'élevant à 600 francs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