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C-5495/2014 vom 20. Februar 2017</w:t>
      </w:r>
    </w:p>
    <w:p>
      <w:r>
        <w:t>Bundesverwaltungsgericht, 2017-02-20, FR</w:t>
      </w:r>
    </w:p>
    <w:p>
      <w:r>
        <w:rPr>
          <w:b/>
        </w:rPr>
        <w:t xml:space="preserve">Quelle: </w:t>
      </w:r>
      <w:r>
        <w:t>https://mcp.opencaselaw.ch/entscheid/bvger_C-5495_2014</w:t>
      </w:r>
    </w:p>
    <w:p>
      <w:r>
        <w:t>FR: TAF C-5495/2014 du 20 février 2017</w:t>
      </w:r>
    </w:p>
    <w:p>
      <w:r>
        <w:t>IT: TAF C-5495/2014 del 20 febbraio 2017</w:t>
      </w:r>
    </w:p>
    <w:p>
      <w:pPr>
        <w:pStyle w:val="Heading2"/>
      </w:pPr>
      <w:r>
        <w:t>Regeste</w:t>
      </w:r>
    </w:p>
    <w:p>
      <w:r>
        <w:t>Droit à la rente</w:t>
      </w:r>
    </w:p>
    <w:p>
      <w:pPr>
        <w:pStyle w:val="Heading2"/>
      </w:pPr>
      <w:r>
        <w:t>Erwägungen</w:t>
      </w:r>
    </w:p>
    <w:p>
      <w:r>
        <w:rPr>
          <w:b/>
        </w:rPr>
        <w:t>E. 1.1</w:t>
      </w:r>
    </w:p>
    <w:p>
      <w:r>
        <w:t>Selon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Il convient encore de préciser que l'office cantonal AI du secteur d'activité dans lequel le frontalier exerce une activité lucrative est compétent pour enregistrer et examiner les demandes présentées par les frontaliers. L'OAIE notifie les décisions (l'art. 40 al. 2 du règlement du 17 janvier 1961 sur l'assurance-invalidité [RAI, RS 831.201]).</w:t>
      </w:r>
    </w:p>
    <w:p>
      <w:r>
        <w:rPr>
          <w:b/>
        </w:rPr>
        <w:t>E. 1.3</w:t>
      </w:r>
    </w:p>
    <w:p>
      <w:r>
        <w:t>En l'occurrence, interjeté en temps utile (art. 50 PA), dans les formes légales (art. 52 ss PA) auprès de l'autorité judiciaire compétente (art. 33 let. d LTAF et art. 69 al. 1 lit. b LAI), par un administré directement touché par la décision attaquée (art. 48 PA), qui s'est acquitté de l'avance de frais dans les temps (art. 63 al. 4 PA et art. 20 ss PA), le recours du 26 septembre 2014 est recevable, quant à la forme. Compte tenu du fait que le recourant a son domicile en France voisine (AI pce 1, p. 3 et pce 2, p. 2 et 3) et travaillait en Suisse (AI pces 10 et 11), il doit être qualifié de frontalier si bien que c'est à bon droit que la procédure d'instruction de la demande de prestations de l'assurance-invalidité a été menée par l'OAI-GE et la décision de refus notifiée par l'OAIE (cf. AI pce 53 ; art. 40 RAI).</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 est un ressortissant franco-kosovar résidant en France, soit dans un Etat membre de l'Union européenne et ayant travaillé en Suisse au moment de la naissance du droit à la rente jusqu'au 1er mars 2013 (soit 6 mois après le dépôt de la demande ; AI pce 2). Ainsi, les dispositions légales de droit suisse en vigueur dans leur teneur jusqu'au jour de la décision attaquée, soit au 21 août 2014, sont applicables.</w:t>
      </w:r>
    </w:p>
    <w:p>
      <w:r>
        <w:rPr>
          <w:b/>
        </w:rPr>
        <w:t>E. 2.4</w:t>
      </w:r>
    </w:p>
    <w:p>
      <w:r>
        <w:t>Par ailleurs, le Tribunal de céans se fondera sur l'état de fait, y compris l'état de santé de l'intéressé, au jour de la décision, soit au 21 août 2014. Les éléments de fait postérieurs à cette date ne devant, en principe, pas être pris en considération, sauf s'ils permettent une meilleure compréhension de l'état de santé du recourant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21 août 2014 par laquelle l'OAIE a rejeté la demande du recourant tendant à l'obtention de prestations de l'assurance-invalidité du 22 octobre 2012 (cf. AI pce 1), et en particulier celle de la capacité lucrative résiduelle.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5.2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5.3</w:t>
      </w:r>
    </w:p>
    <w:p>
      <w:r>
        <w:t>S'agissant des rapports des Services médicaux régionaux (ci-après :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5.4</w:t>
      </w:r>
    </w:p>
    <w:p>
      <w:r>
        <w:t>Enfin, il convient également de rappeler que les organes de l'assurance-invalidité ne sont pas liés par l'évaluation de l'invalidité faite par les organes de l'assurance-accident (ATF 133 V 549, consid. 6 et les références citées ; ATF 126 V 288, consid. 2 ; arrêts du Tribunal fédéral 8C_490/2015 du 24 mars 2016, consid. 3.2, 8C_259/2013 du 4 juin 2013, consid. 2.2 ; Ghislaine Frésard-Fellay, Bettina Kahil-Wolff, Stéphanie Perrenoud, Droit suisse de la sécurité sociale, Volume II, 2015, p. 528, n°116).</w:t>
      </w:r>
    </w:p>
    <w:p>
      <w:r>
        <w:rPr>
          <w:b/>
        </w:rPr>
        <w:t>E. 6.1</w:t>
      </w:r>
    </w:p>
    <w:p>
      <w:r>
        <w:t>En l'occurrence, la décision attaquée se base essentiellement sur deux rapports du SMR dressés les 20 novembre 2013 et 24 juillet 2014 par le Dr. G._______ dans le cadre de la procédure AI (AI pces 34 et 48). Ces documents (en particulier le document rédigé le 20 novembre 2013 [AI pce 34]) ont été établis sur la base des documents médicaux recueillis dans le cadre de la procédure devant la SUVA, laquelle a été versée à la présente procédure (AI pces 11, 26 et 30). Les documents figurant dans la procédure devant la SUVA font quasiment tous état des mêmes troubles à savoir (i) fracture du scaphoïde carpien avec décalage de fragments (ii) sclérose carpienne évoquant une pseudarthrose et (iii) dépression réactionnelle (AI pce 11, p. 13, pce 26, p. 11, pce 30, p. 13, 14, 27, pce 40, et 47, p. 2) et ont été établis en conformité avec les réquisits jurisprudentiels y relatifs (cf. consid. 5 supra ; TAF pce 18). Sur la base de ces documents, le Dr. G._______ a retenu les diagnostics de (i) fracture du scaphoïde carpien avec décalage de fragments et (ii) sclérose carpienne évoquant une pseudarthrose. Le Dr. G._______ a ensuite retenu les limitations fonctionnelles suivantes : (i) limite de port de charges de 5kg, (ii) éviter les travaux répétitifs ou ceux qui nécessitent une force de serrage avec la main droite, (iii) éviter les mouvements répétitifs en flexion/extension du poignet, (iv) éviter toute utilisation d'outils lourds ou vibratoires, (v) alternance des positions assises et debout, (vi) ne pas se pencher, (vii) pas de travail accroupi ou à genoux et (viii) pas de rotation en position assise/debout (AI pce 34, p. 1). Selon ce médecin, l'intéressé est totalement incapable d'exercer son activité habituelle de déménageur depuis le 17 avril 2012. En revanche, il est précisé que l'intéressé dispose d'une pleine capacité de travail dans son activité habituelle de préparateur de produits cosmétiques de même que dans une activité de substitution moyennant toutefois le respect des limitations fonctionnelles précitées (AI pce 34, p. 1). Le Dr. G._______ ne précise toutefois pas la nature des « activités de substitution » exigibles et ne donne en particulier aucun exemple. Cependant, le Dr. G._______ ne se prononce pas sur l'état psychique du recourant, en particulier sur le diagnostic de dépression réactionnelle retenu par la Dresse D._______ à l'occasion de son rapport médical intermédiaire du 28 mai 2013 (AI pce 30, p. 27).</w:t>
      </w:r>
    </w:p>
    <w:p>
      <w:r>
        <w:rPr>
          <w:b/>
        </w:rPr>
        <w:t>E. 6.2</w:t>
      </w:r>
    </w:p>
    <w:p>
      <w:r>
        <w:t>Dans son mémoire de recours, le recourant, assisté de conseils, ne discute pas la nature des troubles constatés par les médecins (cf. TAF pce 1). Il se plaint uniquement des conséquences des troubles constatés sur sa capacité de travail de sorte que le Tribunal administratif fédéral, conformément au principe d'allégation (cf. consid. 3.1 supra), se limitera à l'examen de cette question. Cela se justifie d'autant plus que les différents médecins ont tous constatés les mêmes troubles interférant avec la capacité de travail du recourant (à savoir pour l'essentiel une fracture du scaphoïde avec décalage carpiens et pseudarthrose [AI pce 11, p. 13, 32 à 33, pce 26, p. 7 à13, 21, 36, pce 30, p. 11 à 16, 27, pce 34, p. 1, pce 40, p. 1]) et qu'il existe une concordance s'agissant des limitations fonctionnelles résultant des troubles orthopédiques. Le recourant soutient pour l'essentiel que son état de santé provoque une diminution de sa capacité de gain plus importante que celle retenue par l'OAIE (cf. TAF pce 1, p. 8 et 9). Son grief est fondé. En effet, les constatations du Dr. G._______, qui se fondent uniquement sur les pièces médicales produites dans le cadre de la procédure devant la SUVA et non sur un examen, de visu, du recourant, sont fort peu détaillées et manquent de clarté, respectivement de motivation. Ces constatations, qui tiennent d'ailleurs sur une seule page, ne contiennent aucune explication sur la manière dont le diagnostic a été posé ainsi que sur ses effets sur la capacité de travail du recourant. Par ailleurs, le Dr. G._______ ne donne aucune explication s'agissant des limitations fonctionnelles retenues ainsi que sur ses effets sur la capacité de travail du recourant. De la même manière, le Dr. G._______ ne dit mot sur l'évolution, favorable ou non, de l'incapacité de travail et notamment si la continuation de l'activité habituelle (en particulier celle de remplisseur de flacons) est envisageable à l'avenir. S'agissant en particulier de l'activité de préparateur de produits cosmétiques, le Dr. G._______ retient que celle-ci est tout-à-fait exigible et adaptée aux limitations fonctionnelles retenues (cf. AI pce 34, p. 2). Cependant, et au-delà du fait que cette affirmation n'est aucunement motivée par ce médecin, elle entre également en totale contradiction avec le rapport médical établi par le Dr. H._______ le 4 juin 2014 (cf. AI pce 47, p. 2 confirmé par la suite [cf. TAF pce 13]). En effet, contrairement au Dr. G._______, le Dr. H._______ estime que « l'activité consistant à remplir des flacons me semble tout-à-fait inadéquate car elle implique des mouvements répétitifs qui mettent en jeu une flexion et une déviation ulnaire du poignet, gestes qui sont particulièrement gênant dans une pseudarthrose du scaphoïde ». Le Dr. H._______ a également estimé que le recourant reste « 100% incapable de travailler » (AI pce 47, p. 2). Or, appelé à se déterminer sur ce document, le Dr. G._______, dans une prise de position comptant 3 lignes, s'est contenté de relever que celui-ci « n'apporte aucun élément nouveau » susceptible de changer son appréciation sans toutefois motivé plus avant son avis (AI pce 48, p. 1). L'avis du Dr. H._______, qui est motivé et précis sur la question de l'exigibilité de l'activité de préparateur de produits cosmétiques, permet ainsi de remettre sérieusement en doute les constatations du Dr. G._______ sur ce point. Partant, des investigations et examens complémentaires auraient dû être effectués par l'OAIE afin de déterminer si l'activité de préparateur de produits cosmétiques était effectivement exigibles et en particulier si une telle activité respecte les limitations fonctionnelles retenues. En conséquence, l'OAIE ne pouvait se fonder sur les avis médicaux du Dr. G._______ des 20 novembre et 2013 et 24 juillet 2014 (cf. AI pces 34 et 48) afin de retenir l'exigibilité de l'activité de préparateur de produits cosmétiques. De plus, le Tribunal administratif fédéral souligne que le Dr. G._______ n'a aucunement précisé la nature et le type des activités de substitution exigibles respectant les limitations fonctionnelles retenues. Pour le surplus, il est rappelé que l'arrêt rendu par la Chambre des assurances sociales de la Cour de justice le 18 avril 2016 dans le cadre de la procédure en matière d'assurance-accident (cf. TAF pce 18) ne lie pas les organes de l'assurance-invalidité (cf. consid. 3.4 supra). Cela est d'autant plus vrai que le jugement de la Chambre des assurances sociales de la Cour de justice a été rendu postérieurement à la production, par le recourant, du rapport médical établi par le Dr. H._______ le 4 juin 2014 remettant en cause les constatations du Dr. G._______ (cf. AI pce 47, p. 2).</w:t>
      </w:r>
    </w:p>
    <w:p>
      <w:r>
        <w:rPr>
          <w:b/>
        </w:rPr>
        <w:t>E. 6.3</w:t>
      </w:r>
    </w:p>
    <w:p>
      <w:r>
        <w:t>Au regard de l'ensemble de ce qui précèdent, le Tribunal administratif fédéral arrive à la conclusion que l'OAIE ne pouvait se fonder sur les rapports médicaux du Dr. G._______ afin de prendre la décision querellée. L'OAIE aurait dû, dans un premier temps, effectuer des investigations additionnelles afin de déterminer l'état de santé complet du recourant (tant du point de vue physique que du point de vue psychique) ainsi que les limitations fonctionnelles y relatives. Dans un second temps, l'OAIE aurait dû déterminer l'impact des diagnostics sur la capacité et l'exigibilité de l'activité de préparateurs de produits cosmétiques (cas échéant en fournissant un pronostic d'évolution pour le futur) et, dans la négative, déterminer avec précision les activités de substitution respectueuse des limitations fonctionnelles retenues qui sont envisageables. Ça n'est qu'après avoir reçu ces informations que l'OAIE pourra déterminer la perte de gain subit pas le recourant et partant son taux d'invalidité. Dans la mesure où aucun élément figurant au dossier ne s'y oppose (arrêt du Tribunal fédéral 9C_235/2013 du 10 septembre 2013 consid. 3.2 et références citées ; arrêt du Tribunal administratif fédéral C-4575/2013 du 3 février 2015, consid. 7.6), une expertise bidisciplinaire devra être mise en place en Suisse. Dans le cadre de l'établissement de cette expertise bidisciplinaire, qui devra se conformer aux exigences jurisprudentielles rappelées ci-avant (supra consid. 5), le recourant disposera notamment des droits tels que décrits par le Tribunal fédéral à l'ATF 137 V 210.</w:t>
      </w:r>
    </w:p>
    <w:p>
      <w:r>
        <w:rPr>
          <w:b/>
        </w:rPr>
        <w:t>E. 7.1</w:t>
      </w:r>
    </w:p>
    <w:p>
      <w:r>
        <w:t>Sur le vu de ce qui précède (cf. consid. 6 supra), le recours doit être partiellement admis et la décision du 21 août 2014 doit être annulée. Le dossier doit être renvoyé à l'OAIE pour complément d'instruction au sens des considérants qui précèdent et nouvelle décision ; le Tribunal fédéral ayant précisé que le renvoi de l'affaire à l'autorité inférieure pour nouvelle instruction est notamment justifié lorsqu'il s'agit d'enquêter sur un fait médical qui n'a pas encore fait l'objet d'un examen (cf. ATF 137 V 210 consid. 4; arrêt du Tribunal fédéral 8C_633/2014 du 11 décembre 2014 consid. 3.2 et 3.3).</w:t>
      </w:r>
    </w:p>
    <w:p>
      <w:r>
        <w:rPr>
          <w:b/>
        </w:rPr>
        <w:t>E. 7.2</w:t>
      </w:r>
    </w:p>
    <w:p>
      <w:r>
        <w:t>Compte tenu de l'admission du recours, il n'est pas nécessaire d'examiner la question de la conformité au droit du calcul de la perte de gain effectué par l'OAIE dans la mesure où ce calcul devra nécessairement être effectué à nouveau par cette même autorité dans le cadre de la nouvelle décision qu'il rendra.</w:t>
      </w:r>
    </w:p>
    <w:p>
      <w:r>
        <w:rPr>
          <w:b/>
        </w:rPr>
        <w:t>E. 8.1</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(art. 69 al. 2 LAI et art. 63 al. 1 PA). L'avance de frais de Fr. 400.- versée par le recourant lui sera restituée dès l'entrée en force du présent arrêt, à charge pour ce dernier de communiquer un numéro de compte bancaire au moyen duquel le remboursement puisse intervenir. Aucun frais de procédure n'est mis à la charge de l'OAIE (art. 63 al. 2 PA).</w:t>
      </w:r>
    </w:p>
    <w:p>
      <w:r>
        <w:rPr>
          <w:b/>
        </w:rPr>
        <w:t>E. 8.2</w:t>
      </w:r>
    </w:p>
    <w:p>
      <w:r>
        <w:t>L'art. 64 PA et l'art.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Le Tribunal rappelle qu'il s'agit d'une procédure ordinaire en assurance invalidité laquelle est gouvernée par la maxime inquisitoire et la maxime d'office, ce qui est de nature à faciliter la tâche de l'avocat (ATF 119 V 48 consid. 4a). En l'espèce, le recourant est considéré comme ayant obtenu entièrement gain de cause, son affaire étant renvoyée à l'autorité pour des instructions complémentaires et nouvelle décision (ATF 132 V 215 consid. 6.2). Ainsi, il se justifie d'allouer au recourant une indemnité à titre de dépens fixée à Fr. 1'000.- à charge de l'OAIE, tenant compte du travail du conseil du recourant, à savoir la consultation de la documentation médicale, la rédaction d'un mémoire de 10 pages (TAF pce 1) et de plusieurs courriers (TAF pces 10, 12, 13, et 18). S'agissant d'une défense privée, la TVA n'est pas due sur des prestations d'avocat fournies à un assuré résidant à l'étranger (art. 1ter et 8 de la loi fédérale du 12 juin 2009 régissant la taxe sur la valeur ajourée [LTVA, RS 641.20] ; arrêts du TF 5A_504/2015 du 22 octobre 2015 consid. 3.2.2 a contrario, ATF 141 IV 344 consid. 4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