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C-5488/2007 vom 19. August 2008</w:t>
      </w:r>
    </w:p>
    <w:p>
      <w:r>
        <w:t>Bundesverwaltungsgericht, 2008-08-19, DE</w:t>
      </w:r>
    </w:p>
    <w:p>
      <w:r>
        <w:rPr>
          <w:b/>
        </w:rPr>
        <w:t xml:space="preserve">Quelle: </w:t>
      </w:r>
      <w:r>
        <w:t>https://mcp.opencaselaw.ch/entscheid/bvger_C-5488_2007</w:t>
      </w:r>
    </w:p>
    <w:p>
      <w:r>
        <w:t>FR: TAF C-5488/2007 du 19 août 2008</w:t>
      </w:r>
    </w:p>
    <w:p>
      <w:r>
        <w:t>IT: TAF C-5488/2007 del 19 agosto 2008</w:t>
      </w:r>
    </w:p>
    <w:p>
      <w:pPr>
        <w:pStyle w:val="Heading2"/>
      </w:pPr>
      <w:r>
        <w:t>Regeste</w:t>
      </w:r>
    </w:p>
    <w:p>
      <w:r>
        <w:t>Einreise</w:t>
      </w:r>
    </w:p>
    <w:p>
      <w:pPr>
        <w:pStyle w:val="Heading2"/>
      </w:pPr>
      <w:r>
        <w:t>Erwägungen</w:t>
      </w:r>
    </w:p>
    <w:p>
      <w:r>
        <w:rPr>
          <w:b/>
        </w:rPr>
        <w:t>E. 1.1</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den Übergangsbestimmungen richtet sich das Verfahren nach dem neuen Recht (Art. 126 Abs. 2 AuG), womit nach Art. 112 Abs. 1 AuG die allgemeinen Bestimmungen der Bundesrechtspflege anwendbar sind.</w:t>
      </w:r>
    </w:p>
    <w:p>
      <w:r>
        <w:rPr>
          <w:b/>
        </w:rPr>
        <w:t>E. 1.2</w:t>
      </w:r>
    </w:p>
    <w:p>
      <w:r>
        <w:t>Verfügungen der Vorinstanz betreffend Verweigerung der Einreisebewilligung unterliegen demnach der Beschwerde an das Bundesverwaltungsgericht (Art. 31, Art. 32 sowie Art. 33 Bst. d des Verwaltungsgerichtsgesetzes vom 17. Juni 2005 [VGG, SR 173.32]). 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als Verfügungsadressat zur Beschwerde legitimiert; auf die frist- und formgerecht eingereichte Beschwerde ist einzutreten (Art. 48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 Gemäss Art. 126 Abs. 1 AuG bleibt auf Gesuche, die vor dem Inkraftreten des AuG eingereicht worden sind, aber das bisherige (materielle) Recht anwendbar.</w:t>
      </w:r>
    </w:p>
    <w:p>
      <w:r>
        <w:rPr>
          <w:b/>
        </w:rPr>
        <w:t>E. 2.2</w:t>
      </w:r>
    </w:p>
    <w:p>
      <w:r>
        <w:t>Da das der Beschwerde zugrunde liegende Gesuch um Einreise am 24. April 2007 eingereicht wurde, erfolgt die Beurteilung noch nach dem alten Recht. Einschlägig sind demnach das Bundesgesetz vom 26. März 1931 über Aufenthalt und Niederlassung der Ausländer (aANAG, BS 1 121, zum vollständigen Quellennachweis vgl. Ziff. I des Anhangs zum AuG) sowie die gestützt darauf erlassenen Durchführungsvorschriften (Art. 25 aANAG), insbesondere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Uebersax/Peter Münch/ Thomas Geiser/Martin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Basel/Genf/ München 2000, S. 24; BGE 133 I 185 E. 2.3).</w:t>
      </w:r>
    </w:p>
    <w:p>
      <w:r>
        <w:rPr>
          <w:b/>
        </w:rPr>
        <w:t>E. 3.2</w:t>
      </w:r>
    </w:p>
    <w:p>
      <w:r>
        <w:t>Ausländerinnen und Ausländer benötigen zur Einreise in die Schweiz einen Pass und ein Visum, sofern sie nicht aufgrund besonderer Regelung von diesem Erfordernis ausgenommen sind (vgl. Art. 1 bis 5 aVEA).</w:t>
      </w:r>
    </w:p>
    <w:p>
      <w:r>
        <w:rPr>
          <w:b/>
        </w:rPr>
        <w:t>E. 3.3</w:t>
      </w:r>
    </w:p>
    <w:p>
      <w:r>
        <w:t>Um ein Visum zu erhalten, müssen Ausländerinnen und Ausländer die in Art. 1 Abs. 2 aVEA aufgeführten Voraussetzungen erfüllen. Gemäss Art. 1 Abs. 2 Bst. c aVEA haben sie unter anderem Gewähr für eine fristgerechte Wiederausreise zu bieten.</w:t>
      </w:r>
    </w:p>
    <w:p>
      <w:r>
        <w:rPr>
          <w:b/>
        </w:rPr>
        <w:t>E. 4.1</w:t>
      </w:r>
    </w:p>
    <w:p>
      <w:r>
        <w:t>Die Gesuchstellerin kann sich auf keine Ausnahmeregelung berufen; sie ist aufgrund ihrer Staatsangehörigkeit visumspflichtig. Die Vorinstanz verweigerte der Gesuchstellerin die Erteilung eines solchen Visums mit der Begründung, ihre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Nach mehr als zehn Jahren starken Wachstums und grosser Stabilität geriet die Dominikanische Republik im Jahre 2003 in eine schwere Wirtschaftskrise. Zu dieser Krise trug unter anderem die Insolvenz einer der grössten Geschäftsbanken bei. Die Inflationsrate betrug allein in jenem Jahr 42,7%. Die Wirtschaftskrise traf die Bevölkerung empfindlich; der Anteil der unter der Armutsgrenze lebenden dominikanischen Bevölkerung stieg um 582'278 auf 5,71 Mio. Personen, bei einer Gesamtbevölkerung von ca. 9 Mio. Personen (Quelle: www.auswaertiges-amt.de, Stand März 2006). Die Krise konnte zwar inzwischen überwunden werden; die Dominikanische Republik erreicht seit 2005 wiederum hohe Wachstumsraten wie in den 90er Jahren und die Arbeitslosenquote sank seit 2005 und betrug im Jahre 2006 noch knapp 16,2%. Diese erfreuliche Entwicklung vermag aber nicht darüber hinweg zu täuschen, dass sich die wirtschaftliche Situation der bedürftigen Schichten noch nicht spürbar verbessert hat. Deshalb wächst auch die Kritik der Bevölkerung, da das hohe Wachstum bisher nicht ausgereicht hat, um genügend neue Arbeitsplätze zu schaffen (Quelle: www.auswaertiges-amt.de, Stand Februar 2008, besucht am 12. August 2008). Aufgrund der nach wie vor ungünstigen Lebensbedingungen ist denn auch ein starker Migrationsdruck feststellbar.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5</w:t>
      </w:r>
    </w:p>
    <w:p>
      <w:r>
        <w:t>Bei der Risikoanalyse sind aber nicht nur solche allgemeinen Umstände und Erfahrungen, sondern auch sämtliche Gesichtspunkte des konkreten Einzelfalles zu berücksichtigen. Obliegt einem Gesuchsteller bzw. einer Gesuchstellerin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der Gesuchstellerin handelt es sich um eine 38-jährige, unverheiratete Frau und Mutter von fünf Kindern. Auf den ersten Blick könnte aus dem Umstand, dass sie für die Dauer ihres Besuchsaufenthaltes in der Schweiz ihre Kinder in der Heimat zurücklassen würde, durchaus auf persönliche Verpflichtungen und daraus auf eine gewisse Verwurzelung geschlossen werden. Andererseits zeigt die Erfahrung, dass zurückbleibende Angehörige gerade in Situationen angespannter wirtschaftlicher Verhältnisse nicht wesentlich davon abhalten können, den Entscheid für eine Emigration zu fällen. Im Gegenteil; der Entscheid kann dort gerade von der Hoffnung getragen sein, die Angehörigen aus dem Ausland effizienter unterstützen und allenfalls später nachziehen zu können. Das Pflichtgefühl der Gesuchstellerin insbesondere gegenüber den jüngeren Kindern - die beiden älteren sind ja bereits erwachsen und selbständig - ist aber auch insofern zu relativieren, als sie den beabsichtigten Besuch ursprünglich über eine Dauer von zwei Monaten plante. Solchermassen ist nicht davon auszugehen, dass die familiären Verhältnisse der Gesuchstellerin diese nachhaltig davon abhalten könnten, eine Emigration in die Schweiz ernsthaft in Erwägung zu ziehen.</w:t>
      </w:r>
    </w:p>
    <w:p>
      <w:r>
        <w:rPr>
          <w:b/>
        </w:rPr>
        <w:t>E. 5.2</w:t>
      </w:r>
    </w:p>
    <w:p>
      <w:r>
        <w:t>In Bezug auf die wirtschaftlichen Verhältnisse der Gesuchstellerin wird geltend gemacht, sie gehe einer geregelten Arbeit nach, wobei keine Angaben über die Höhe ihres Einkommens gemacht werden. Aus den Akten ergibt sich (vgl. Mitteilung der Schweizerischen Vertretung in Santo Domingo vom 11. Mai 2007), dass sie seit zwei Jahren bei einer Spielbank "mit ganz niedrigem Gehalt" arbeite. Ihre Einkünfte aus dieser Arbeit dürften somit nicht mehr als dem gesetzlichen Mindestlohn entsprechen. Im Gegensatz zu vielen ihrer Landsleute hat die Gesuchstellerin damit zwar eine Anstellung. Unabhängig von der Beantwortung der offen gebliebenen Fragen, wie sich eine zweimonatige Abwesenheit mit den Verbindlichkeiten aus dem Arbeitsverhältnis vertragen würde und ob der Arbeitgeber der Gesuchstellerin eine Weiterbeschäftigung nach ihrer Rückkehr garantiert, kann aber nicht davon ausgegangen werden, sie befinde sich in wirtschaftlich günstigen Verhältnissen. Darüber hinaus zeigt die Erfahrung ganz allgemein, dass aufgrund des grossen Lohngefälles zwischen der Schweiz und der Dominikanischen Republik selbst ein für einheimische Verhältnisse gutes Salär nicht nachhaltig davon abhalten kann, das Heimatland dauerhaft zu verlassen.</w:t>
      </w:r>
    </w:p>
    <w:p>
      <w:r>
        <w:rPr>
          <w:b/>
        </w:rPr>
        <w:t>E. 5.3</w:t>
      </w:r>
    </w:p>
    <w:p>
      <w:r>
        <w:t>Der Beschwerdeführer hat sich dazu bereit erklärt, für die Lebensunterhaltskosten der Gesuchstellerin während ihres geplanten Besuchsaufenthaltes aufzukommen. Weiter will er für ihre anstandslose und fristgerechte Rückkehr in die Dominikanische Republik garantieren. Die Integrität des Beschwerdeführers in seiner Eigenschaft als Gastgeber wird in keiner Art und Weise in Zweifel gezogen. Indessen sind bei der Abwägung des Risikos einer nicht fristgerechten Wiederausreise nicht so sehr die Einstellung oder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wie er es mit der Unterzeichnung der entsprechenden Verpflichtungserklärung am 19. Juni 2007 getan hat, nicht aber - mangels rechtlicher und faktischer Durchsetzbarkeit - für ein bestimmtes Verhalten des Gastes (vgl. anstelle vieler Urteil des Bundesverwaltungsgerichts C-6493/2007 vom 9. Juni 2008 E. 5.3).</w:t>
      </w:r>
    </w:p>
    <w:p>
      <w:r>
        <w:rPr>
          <w:b/>
        </w:rPr>
        <w:t>E. 6</w:t>
      </w:r>
    </w:p>
    <w:p>
      <w:r>
        <w:t>Gestützt auf die vorstehenden Erwägungen durfte die Vorinstanz davon ausgehen, die fristgerechte Wiederausreise sei nicht gewährleistet (vgl. Art. 14 Abs. 1 i.V.m. Art. 1 Abs. 2 Bst. c aVEA). Zwar lässt sich diese Prognose nicht zu einer gesicherten Feststellung verdichten, sie reicht aber aus, um die Erteilung einer Einreisebewilligung - auf welche wie bereits erwähnt ohnehin kein Rechtsanspruch besteht - abzulehnen. Daraus folgt, dass die angefochtene Verfügung Bundesrecht nicht verletzt. Der rechtserhebliche Sachverhalt wurde richtig und vollständig festgestellt und die Vorinstanz hat das ihr zustehende Ermessen pflichtgemäss und zutreffend ausgeübt (Art. 49 VwVG). Die Beschwerde ist daher abzuweisen.</w:t>
      </w:r>
    </w:p>
    <w:p>
      <w:r>
        <w:rPr>
          <w:b/>
        </w:rPr>
        <w:t>E. 7</w:t>
      </w:r>
    </w:p>
    <w:p>
      <w:r>
        <w:t>Bei diesem Ausgang des Verfahrens sind die Kosten dem Beschwerdeführer aufzuerlegen (Art. 63 Abs. 1 VwVG); diese sind auf Fr. 600.-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