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C-5486/2009 vom 18. Oktober 2010</w:t>
      </w:r>
    </w:p>
    <w:p>
      <w:r>
        <w:t>Bundesverwaltungsgericht, 2010-10-18, IT</w:t>
      </w:r>
    </w:p>
    <w:p>
      <w:r>
        <w:rPr>
          <w:b/>
        </w:rPr>
        <w:t xml:space="preserve">Quelle: </w:t>
      </w:r>
      <w:r>
        <w:t>https://mcp.opencaselaw.ch/entscheid/bvger_C-5486_2009</w:t>
      </w:r>
    </w:p>
    <w:p>
      <w:r>
        <w:t>FR: TAF C-5486/2009 du 18 octobre 2010</w:t>
      </w:r>
    </w:p>
    <w:p>
      <w:r>
        <w:t>IT: TAF C-5486/2009 del 18 ottobre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w:t>
      </w:r>
    </w:p>
    <w:p>
      <w:r>
        <w:rPr>
          <w:b/>
        </w:rPr>
        <w:t>E. 4</w:t>
      </w:r>
    </w:p>
    <w:p>
      <w:r>
        <w:t>Il ricorrente contesta la validità materiale della decisione dell'UAIE, chiedendo che gli sia riconosciuto il diritto ad almeno una mezza rendita d'invalidità.</w:t>
      </w:r>
    </w:p>
    <w:p>
      <w:r>
        <w:rPr>
          <w:b/>
        </w:rPr>
        <w:t>E. 5</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per almeno un anno intero (art. 36 cpv. 1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il ricorrente adempie la condizione della durata minima di contribuzione, alla quale la legge subordina l'erogazione di una rendita. Rimane ora da esaminare se sia invalido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Il ricorrente non ha più svolto alcuna attività lucrativa dal dicembre 1994. Ora, benché l'invalidità sia una nozione giuridico economica, in carenza di documentazione economica, le certificazioni mediche possono costituire importanti elementi per apprezzare il danno invalidante e per determinare quali lavori siano ancora ragionevolmente esigibili dall'assicurato (DTF 115 V 133 consid. 2 e 114 V 310 consid. 3c).</w:t>
      </w:r>
    </w:p>
    <w:p>
      <w:r>
        <w:rPr>
          <w:b/>
        </w:rPr>
        <w:t>E. 8.2</w:t>
      </w:r>
    </w:p>
    <w:p>
      <w:r>
        <w:t>In concreto, dalla documentazione medica agli atti e, in particolare, dalla relazione di dimissione del 13 dicembre 2007 (doc. 17), risulta la diagnosi di esiti di recente infarto inferiore ad evoluzione aneurismatica, di coronaropatia ostruttiva monovasale, di cardiopatia ischemica cronica e di pregressi episodi di angina spontanea di tipo Prinzmetal, d'ipertensione arteriosa, di diabete mellito di tipo II e d'ipertrigliceridemia. Dal canto suo, la dott.ssa C._______, medico dell'UAIE, nella sua presa di posizione del 17 marzo 2009, ha confermato la presenza di una cardiopatia coronarica e di un'angina tipo Prinzmetal, non giudicando tuttavia che l'ipertensione arteriosa determini una cardiopatia ipertensiva. Nel certificato esibito in sede di ricorso, il dott. D._______ ha pure menzionato una cervicoartrosi e una spondiloartrosi. Ora, già dalla perizia E 213 si rileva che il rachide si presentava diffusamente spinalgico e limitato nei movimenti del tronco di circa 1/3. I movimenti (forza e tono muscolare) come pure l'andatura erano tuttavia risultati nella norma e tale patologia non era stata inclusa nella diagnosi con influenza sulla capacità lavorativa del ricorrente.</w:t>
      </w:r>
    </w:p>
    <w:p>
      <w:r>
        <w:rPr>
          <w:b/>
        </w:rPr>
        <w:t>E. 9.1</w:t>
      </w:r>
    </w:p>
    <w:p>
      <w:r>
        <w:t>Non concordi sono i pareri circa le ripercussioni invalidanti delle summenzionate affezioni. In effetti, il dott. B._______, nella perizia E 213, ha posto un tasso d'invalidità dell'80% per l'ultimo lavoro svolto e per qualsiasi lavoro adeguato alle condizioni del ricorrente, pur ammettendo la possibilità che quest'ultimo svolga regolarmente lavori leggeri. La dott.ssa C._______ ha invece considerato che egli può svolgere la sua precedente attività di operaio nell'edilizia, osservando che è estremamente raro che persista un danno permanente al muscolo cardiaco nel tipo di angina (Prinzmetal) di cui soffre il ricorrente, e che lo stesso non è stato in ogni caso documentato. Il medico dell'UAIE ha aggiunto che anche dopo l'infarto, la funzione del ventricolo sinistro è rimasta normale e che la muscolatura del cuore aneurismatica non ha alcun influsso sulla funzione cardiaca, non essendo stati d'altronde previsti ulteriori interventi di by-pass o di PTCA (percutaneous transluminal coronary angioplasty). Dal canto suo, il dott. D._______ ha fissato all'80% il grado d'invalidità, osservando che il ricorrente si trova in labile compenso emodinamico (classe III - IV NYHA) con frequenti "poussées" ipertensive caratterizzate da dispnea anche a riposo, edemi declivi e frequenti crisi anginoidi, pericolosi per la sua vita. Chiamato ad esprimersi in merito, un secondo medico del'UAIE, il dott. E._______, ha osservato che nel certificato del dott. D._______ sono ribadite le note patologie, ma che è pure postulata la presenza di una dispnea da sforzo della classe III-IV NYHA, nonché di altre sintomatologie cardiache, in contraddizione completa con tutte le precedenti constatazioni, in particolare quelle delle relazioni di dimissione dei ricoveri del novembre-dicembre 2007 e della perizia E 213, nelle quali il ricorrente è descritto come asintomatico ed eupnoico. Modificando le conclusioni della dott.ssa C._______, il dott. E._______ ha stabilito che il ricorrente è atto a svolgere lavori medio-leggeri in qualsiasi ambito, mentre attività pesanti nell'edilizia non sarebbero più esigibili.</w:t>
      </w:r>
    </w:p>
    <w:p>
      <w:r>
        <w:rPr>
          <w:b/>
        </w:rPr>
        <w:t>E. 9.2</w:t>
      </w:r>
    </w:p>
    <w:p>
      <w:r>
        <w:t>Dalle sostanziali divergenze esposte al considerando precedente, risulta che il collegio giudicante si trova nell'impossibilità di determinare la misura dell'eventuale incapacità di lavoro e di guadagno subita dall'interessato. Occorre inoltre rilevare che la sola documentazione oggettiva attendibile agli atti risulta essere la relazione di dimissione del dicembre 2007, allorquando il ricorrente fu sottoposto a coronarografia in seguito all'infarto del miocardio subito nel novembre precedente. I successivi controlli effettuati nel giugno e novembre 2008 risultano essere difficilmente leggibili, come attestato dalla stessa dott.ssa Schoch-Zysett, e il dott. D._______, pur lasciando intravedere un peggioramento delle condizioni di salute del ricorrente, non si fonda su alcun esame oggettivo recente.</w:t>
      </w:r>
    </w:p>
    <w:p>
      <w:r>
        <w:rPr>
          <w:b/>
        </w:rPr>
        <w:t>E. 9.3</w:t>
      </w:r>
    </w:p>
    <w:p>
      <w:r>
        <w:t>Di conseguenza, è necessario accogliere parzialmente il ricorso, annullare la decisione impugnata e rinviare l'incarto all'UAIE per un complemento d'istruzione e per una nuova valutazione della capacità lavorativa.Secondo l'art. 61 cpv. 1 PA, l'autorità di ricorso decide la causa o eccezionalmente la rinvia, con istruzioni vincolanti, all'autorità inferiore. Benché questa disposizione permetta solo eccezionalmente di ricorrere ad una tale procedura, l'applicazione dell'eccezione prevista è tuttavia giustificata in concreto, se si considerano le contraddizioni che palesa l'incarto riguardo alla capacità lavorativa e alla riduzione del grado d'invalidità per circostanze personali. L'UAIE dovrà quindi provvedere ad una nuova valutazione della capacità lavorativa a partire dal 17 novembre 2007, data dell'infarto. A questo fine, l'amministrazione procederà a completare l'istruttoria dal punto di vista cardiaco, predisponendo i necessari esami medici oggettivi, al fine di determinare chiaramente la diagnosi, e quantificare la capacità lavorativa, dettagliando e giustificando le proprie conclusioni. Una volta che il servizio medico si sarà pronunciato in questo senso, l'UAIE effettuerà, se del caso, un adeguato e circostanziato raffronto dei redditi, tenendo conto, per quanto concerne la riduzione per circostanze personali, della giurisprudenza federale in materia (DTF 126 V 75), ed emanerà quindi una nuova decisione impugnabile.</w:t>
      </w:r>
    </w:p>
    <w:p>
      <w:r>
        <w:rPr>
          <w:b/>
        </w:rPr>
        <w:t>E. 10</w:t>
      </w:r>
    </w:p>
    <w:p>
      <w:r>
        <w:t>Secondo l'art. 63 cpv. 1 PA, le spese processuali sono di regola messe a carico della parte soccombente. In concreto, visto l'esito della procedura, non sono prelevate spese processuali e l'anticipo di Fr. 300.-, versato il 1° aprile 2010, è retrocesso al ricorrente.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per cui ha dovuto sostenere spese indispensabili e relativamente elevate, è giustificato assegnargli un'indennità per spese ripetibili di Fr. 800.-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