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C-5483/2011 vom 25. März 2013</w:t>
      </w:r>
    </w:p>
    <w:p>
      <w:r>
        <w:t>Bundesverwaltungsgericht, 2013-03-25, DE</w:t>
      </w:r>
    </w:p>
    <w:p>
      <w:r>
        <w:rPr>
          <w:b/>
        </w:rPr>
        <w:t xml:space="preserve">Quelle: </w:t>
      </w:r>
      <w:r>
        <w:t>https://mcp.opencaselaw.ch/entscheid/bvger_C-5483_2011</w:t>
      </w:r>
    </w:p>
    <w:p>
      <w:r>
        <w:t>FR: TAF C-5483/2011 du 25 mars 2013</w:t>
      </w:r>
    </w:p>
    <w:p>
      <w:r>
        <w:t>IT: TAF C-5483/2011 del 25 marzo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des Verwaltungsverfahrensgesetzes vom 20. Dezember 1968 (VwVG, SR 172.021), die von einer in Art. 33 VGG aufgeführten Behörde erlassen wurden. Darunter fallen u.a.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w:t>
      </w:r>
    </w:p>
    <w:p>
      <w:r>
        <w:rPr>
          <w:b/>
        </w:rPr>
        <w:t>E. 3.1</w:t>
      </w:r>
    </w:p>
    <w:p>
      <w:r>
        <w:t>Gemäss Art. 67 Abs. 2 Bst. a des Ausländergesetzes vom 16. De­zember 2005 [AuG, SR 142.20])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3.2</w:t>
      </w:r>
    </w:p>
    <w:p>
      <w:r>
        <w:t>Die Verhängung eines Einreiseverbots nach Art. 67 AuG hat in der Regel zur Folge, dass die betroffene Person im Schengener Informationssystem (SIS) ausgeschrieben wird, sofern sie nicht einem durch die (in Anhang 1 Ziffer 1 AuG aufgeführten) Schengen-Assoziierungs­abkommen gebundenen Staat angehört. Die Ausschreibung im SIS erfolgt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Sie bewirkt, dass der Person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w:t>
      </w:r>
    </w:p>
    <w:p>
      <w:r>
        <w:t>Der Beschwerdeführer beanstandet die angefochtene Verfügung zunächst in formeller Hinsicht, indem er der Vorinstanz vorwirft, bereits wenige Stunden nach Entgegennahme seiner Stellungnahme einen Entscheid getroffen und sich daher nicht ernsthaft mit seinem Vorbringen auseinandergesetzt zu haben. Diesbezüglich ist jedoch festzustellen, dass die Vorinstanz die angefochtene Verfügung knapp und summarisch begründet und dabei insbesondere auf die strafrechtlichen Vorwürfe abgestellt hat, wegen denen der Beschwerdeführer mit Urteil des Bezirksgerichts Muri vom 17. Dezember 2009 verurteilt worden war. Vor dem Hintergrund der aufgeführten Delikte erklärt sich auch die aus Sicht der Vorinstanz angezeigte - und damit nicht weiter erläuterte - Verhängung eines sechsjährigen Einreiseverbots. Auf der Grundlage der in Kurzform begründeten Verfügung war der Beschwerdeführer denn auch durch­aus in der Lage, diese sachgerecht anzufechten. Die von ihm implizit erhobene Rüge der Gehörsverletzung erweist sich demnach als unbegründet (zu den Anforderungen an die Begründungspflicht: vgl. Urteil des Bundesverwaltungsgerichts C-3593/2009 vom 18. Juni 2012 E. 3.1 mit Hinweisen).</w:t>
      </w:r>
    </w:p>
    <w:p>
      <w:r>
        <w:rPr>
          <w:b/>
        </w:rPr>
        <w:t>E. 5</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Bestand ein solches Verhalten in der Vergangenheit, so wird die Gefahr entsprechender künftiger Störungen von Gesetzes wegen vermutet (vgl. Botschaft, a.a.O. S. 3760; vgl. auch Urteil des Bundesverwaltungsgerichts C-2731/2011 vom 18. November 2011 E. 4.3 mit ausführlichen Hinweisen).</w:t>
      </w:r>
    </w:p>
    <w:p>
      <w:r>
        <w:rPr>
          <w:b/>
        </w:rPr>
        <w:t>E. 6</w:t>
      </w:r>
    </w:p>
    <w:p>
      <w:r>
        <w:t>Mit den vom Bezirksgericht Muri abgeurteilten Straftaten des Beschwerdeführers lagen zweifelsohne Verstösse gegen die öffentliche Sicherheit und Ordnung vor, was vom Beschwerdeführer auch gar nicht bestritten wird. Da ein derartiges Verhalten auch eine Gefahr entsprechender künftiger Verstösse begründet, ist es ohne Belang, dass sich der Beschwerdeführer angesichts seines in jüngster Vergangenheit demonstrierten Wohlverhaltens überzeugt gibt, sich in der Zukunft straffrei verhalten zu können. Dass er einen Fernhaltegrund im Sinne von Art. 67 Abs. 2 Bst. a AuG gesetzt hat, ist folglich nicht in Abrede zu stellen.</w:t>
      </w:r>
    </w:p>
    <w:p>
      <w:r>
        <w:rPr>
          <w:b/>
        </w:rPr>
        <w:t>E. 7</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 und St. Gallen 2010, S. 138 f.).</w:t>
      </w:r>
    </w:p>
    <w:p>
      <w:r>
        <w:rPr>
          <w:b/>
        </w:rPr>
        <w:t>E. 7.1</w:t>
      </w:r>
    </w:p>
    <w:p>
      <w:r>
        <w:t>Die dem Beschwerdeführer vorgeworfenen Straftaten und seine Verurteilung zu einer Freiheitsstrafe von 2 Jahren und 9 Monaten machen deutlich, dass er dabei mit erheblicher krimineller Energie vorging und auch vor Gewaltanwendung nicht zurückschreckte. Zwar wurde ein Gross­teil seiner Strafe - 21 Monate - zur Bewährung ausgesetzt, dies bedeutet aber nicht, dass das Strafgericht sein Verschulden als objektiv gering einschätzte, sondern nur, dass es ihm offensichtlich eine relativ gute Zukunftsprognose stellte. Letztgenannten Umstand möchte der Beschwerdeführer auch in Bezug auf die gegen ihn verhängte Fernhaltemassnahme gewürdigt wissen. Allerdings ist das von ihm seit seiner Verurteilung unter Beweis gestellte Wohlverhalten wenig aussagekräftig, steht doch seine bedingt vollziehbare Freiheitsstrafe unter einer noch laufenden Probezeit von vier Jahren. Aufgrund seiner strafrechtlichen Verurteilung ist somit - in Übereinstimmung mit der Vorinstanz - davon auszugehen, dass von ihm eine schwerwiegende Gefahr für die öffentliche Sicherheit und Ordnung ausgeht. Entsprechend gross ist das öffentliche Interesse an seiner langfristigen Fernhaltung, für die nach Massgabe von Art. 67 Abs. 3 AuG eine Dauer von mehr als 5 Jahren - konkret 6 Jahren - gerechtfertigt erscheint. Dabei gilt es zu berücksichtigen, dass im Fremdenpolizeirecht strengere Massstäbe als im strafrechtlichen Sank-tionenrecht angelegt werden, wenn es um die Beurteilung von Legalpro-gnosen geht (vgl. Urteil des Bundesgerichts 2C_833/2011 vom 6. Juni 2012 E. 3.2.1 mit Hinweisen; zur Generalprävention sowie zur beschränkten Relevanz der Rückfallgefahr vgl. auch Urteil des Bundesgerichts 2C_282/2012 vom 31. Juli 2012 E. 2.5 mit Hinweisen).</w:t>
      </w:r>
    </w:p>
    <w:p>
      <w:r>
        <w:rPr>
          <w:b/>
        </w:rPr>
        <w:t>E. 7.2</w:t>
      </w:r>
    </w:p>
    <w:p>
      <w:r>
        <w:t>Soweit der Beschwerdeführer seine privaten Interessen durch das Einreiseverbots berührt sieht, ist festzustellen, dass sein Privat- und Familienleben in erster Linie durch das fehlende Anwesenheitsrecht in der Schweiz eingeschränkt wird; seine hiesige Niederlassungsbewilligung wurde nämlich mit rechtskräftiger Verfügung des Migrationsamts des Kantons Aargau vom 9. April 2010 widerrufen. Die Pflege regelmässiger persönlicher Kontakte zu seinen in der Schweiz lebenden Familienangehörigen scheitert somit bereits hieran. Allenfalls können seine familiären Kontakte während der Dauer des Einreiseverbots - jedoch nur bis zu einem gewissen Grad - mithilfe kontrollierter befristeter Besuchsaufenthalte aufrecht erhalten werden; derartige Suspensionen im Sinne von Art. 67 Abs. 5 AuG dürfen nämlich nicht zu einer Aushöhlung des Einreiseverbots führen (vgl. Urteil des Bundesverwaltungsgerichts C-943/2012 vom 26. November 2012 E. 7.1). Der Beschwerdeführer hat zwar schon einmal, am 27. August 2012, ein Suspensionsgesuch gestellt, welches vom BFM unter Hinweis auf die bisher erst kurze Dauer des Einreiseverbots abgelehnt wurde; darin ist jedoch in Bezug auf künftige Gesuche kein Präjudiz zu sehen. Abgesehen davon stehen dem Beschwerdeführer zur familiären Kontaktpflege verschiedene moderne Kommunikationsmittel zur Verfügung.</w:t>
      </w:r>
    </w:p>
    <w:p>
      <w:r>
        <w:rPr>
          <w:b/>
        </w:rPr>
        <w:t>E. 7.3</w:t>
      </w:r>
    </w:p>
    <w:p>
      <w:r>
        <w:t>Zusammenfassend ist festzustellen, dass das auf 6 Jahre befristete Einreiseverbot eine verhältnismässige und angemessene Massnahme zum Schutz der öffentlichen Ordnung darstellt. Angesichts der Schwere der abgeurteilten Straftaten des Beschwerdeführers und der hieraus sprechenden kriminellen Energie sind die Voraussetzungen von Art. 67 Abs. 3 Satz 2 AuG zweifelsohne erfüllt. Hinsichtlich der SIS-Aus­schreibung ist festzustellen, dass diese in Übereinstimmung mit den einschlägigen Bestimmungen (vgl. E. 3.2) erfolgte. Insbesondere wurde das der SIS-Ausschreibung zugrunde liegende Einreiseverbot von einer national zuständigen Behörde verfügt, dies im Zusammenhang mit der Verurteilung wegen Straftaten, die mit Freiheitsstrafe von mindestens einem Jahr bedroht sind (vgl. Art. 96 Ziff. 1 und Ziff. 2 Bst. a SDÜ).</w:t>
      </w:r>
    </w:p>
    <w:p>
      <w:r>
        <w:rPr>
          <w:b/>
        </w:rPr>
        <w:t>E. 8</w:t>
      </w:r>
    </w:p>
    <w:p>
      <w:r>
        <w:t>Aus diesen Erwägungen ergibt sich, dass die angefochtene Verfügung im Lichte von Art. 49 VwVG nicht zu beanstanden ist. Die Beschwerde ist demzufolge abzuweisen.</w:t>
      </w:r>
    </w:p>
    <w:p>
      <w:r>
        <w:rPr>
          <w:b/>
        </w:rPr>
        <w:t>E. 9</w:t>
      </w:r>
    </w:p>
    <w:p>
      <w:r>
        <w:t>Entsprechend dem Ausgang des Verfahrens wird der unterliegende Beschwerdeführer kostenpflichtig (vgl. Art. 63 Abs. 1 VwVG i.V.m. Art. 1 ff. des Reglements über die Kosten und Entschädigungen vor dem Bundesverwaltungsgericht vom 21. Februar 2008 [VGKE, SR 173.320.2]). Er ersuchte zwar in seiner Beschwerdeeingabe um Gewährung der unentgeltlichen Rechtspflege im Sinne von Art. 65 Abs. 1 VwVG (Erlass der Verfahrenskosten). Obwohl ausdrücklich darauf hingewiesen (vgl. Zwischenverfügung vom 12. Oktober 2011, S. 3 unten), hat es der Beschwerdeführer unterlassen, seine Bedürftigkeit nachzuweisen. Das Gesuch um unentgeltliche Rechtspflege ist daher abzuweisen; bei dieser Sachlage kann offen bleiben, ob die Begehren nicht als von vornherein aussichtslos zu bezeichnen wären.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