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C-5467/2014 vom 22. Mai 2017</w:t>
      </w:r>
    </w:p>
    <w:p>
      <w:r>
        <w:t>Bundesverwaltungsgericht, 2017-05-22, FR</w:t>
      </w:r>
    </w:p>
    <w:p>
      <w:r>
        <w:rPr>
          <w:b/>
        </w:rPr>
        <w:t xml:space="preserve">Quelle: </w:t>
      </w:r>
      <w:r>
        <w:t>https://mcp.opencaselaw.ch/entscheid/bvger_C-5467_2014</w:t>
      </w:r>
    </w:p>
    <w:p>
      <w:r>
        <w:t>FR: TAF C-5467/2014 du 22 mai 2017</w:t>
      </w:r>
    </w:p>
    <w:p>
      <w:r>
        <w:t>IT: TAF C-5467/2014 del 22 maggio 2017</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payée, le recours est recevable.</w:t>
      </w:r>
    </w:p>
    <w:p>
      <w:r>
        <w:rPr>
          <w:b/>
        </w:rPr>
        <w:t>E. 2.1</w:t>
      </w:r>
    </w:p>
    <w:p>
      <w:r>
        <w:t>L'examen du droit à des prestations selon la LAI est régi par la teneur de la LAI au moment de la décision entreprise eu égard au principe selon lequel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 Les dispositions de la 6ème révision de la LAI (premier volet) en vigueur depuis le 1er janvier 2012 (RO 2011 5659, FF 2010 1647) sont applicables. En vertu de l'art. 29 al. 1 LAI le droit à la rente prend naissance au plus tôt à l'échéance d'une période de six mois à compter de la date à laquelle l'assuré a fait valoir son droit aux prestations conformément à l'art. 29 al. 1 LPGA. En l'espèce, le Tribunal peut se limiter à examiner si le recourant remplissait les conditions d'octroi de prestations depuis le 1er janvier 2014 (art. 29 al. 1 LAI, cf. la demande de prestations d'invalidité déposée le 4 juillet 2013 [pce 1]) jusqu'au 1er septembre 2014, date de la décision attaquée marquant la limite dans le temps du pouvoir d'examen de l'autorité de recours (ATF 129 V 1 consid. 1.2).</w:t>
      </w:r>
    </w:p>
    <w:p>
      <w:r>
        <w:rPr>
          <w:b/>
        </w:rPr>
        <w:t>E. 2.2</w:t>
      </w:r>
    </w:p>
    <w:p>
      <w:r>
        <w:t>La procédure dans le domaine des assurances sociales fait prévaloir la maxime inquisitoriale (ATF 138 V 206 consid. 6). Le TAF définit les faits et apprécie les preuves d'office et librement (cf. art. 12 PA). Il applique le droit d'office, sans être lié par les motifs invoqués par les parties (art. 62 al. 4 PA ; Fritz Gygi, Bundesverwaltungsrechtspflege, 1983, p. 212 ; Thomas Häberli, in : B. Waldmann / Ph. Weissenberger, Praxiskommentar Verwal-tungsvervahrengesetz, 2e éd. 2016, art. 62 n° 43),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2.3</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117 V 293 consid. 4, ATF 116 V 245 consid. 1a). Les faits survenus postérieurement doivent cependant être pris en considération dans la mesure où ils sont étroitement liés à l'objet du litige et de nature à influencer l'appréciation au moment où la décision attaquée a été rendue (ATF 99 V 98 consid. 4 p. 102 ; arrêt du TF 9C_25/2012 du 25 avril 2012 consid. 2.1).</w:t>
      </w:r>
    </w:p>
    <w:p>
      <w:r>
        <w:rPr>
          <w:b/>
        </w:rPr>
        <w:t>E. 3.1</w:t>
      </w:r>
    </w:p>
    <w:p>
      <w:r>
        <w:t>L'affaire présente un aspect transfrontalier dans la mesure où le recourant est ressortissant espagnol domicilié en Espagne.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"Etat membre" au sens des règlements de coordination (art. 1er al. 2 de l'annexe II de l'ALCP).</w:t>
      </w:r>
    </w:p>
    <w:p>
      <w:r>
        <w:rPr>
          <w:b/>
        </w:rPr>
        <w:t>E. 3.2</w:t>
      </w:r>
    </w:p>
    <w:p>
      <w:r>
        <w:t>Depuis le 1er avril 2012 les parties contractantes appliquent entre elles le règlement (CE) n° 883/2004 du Parlement européen et du Conseil du 29 avril 2004 portant sur la coordination des systèmes de sécurité sociale, modifié par le règlement (CE) n° 988/2009 du Parlement européen et du Conseil du 16 septembre 2009 (RS 0.831.109.268.1; ci-après : règlement n° 883/2004). Dans son champ d'application, le règlement n° 883/2004 se substitue à toute convention de sécurité sociale applicable entre les États membres. Toutefois, certaines dispositions de conventions de sécurité sociale que les États membres ont conclues avant la date d'application du présent règlement restent applicables, pour autant notamment qu'elles soient plus favorables pour les bénéficiaires (art. 8 du règlement n° 883/ 2004) et que ceux-ci aient exercé leur droit à la libre circulation avant l'entrée en vigueur de l'ALCP (ATF 133 V 329 consid. 8.6).</w:t>
      </w:r>
    </w:p>
    <w:p>
      <w:r>
        <w:rPr>
          <w:b/>
        </w:rPr>
        <w:t>E. 3.3</w:t>
      </w:r>
    </w:p>
    <w:p>
      <w:r>
        <w:t>Selon l'art. 4 du règlement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la procédure ainsi que les conditions à l'octroi d'une rente d'invalidité suisse sont déterminées exclusivement d'après le droit interne suisse. En effet selon l'art. 46 al. 3 du règlement n° 883/2004 une décision prise par l'institution d'un Etat membre quant au degré d'invalidité de l'intéressé s'impose à l'institution de tout autre Etat membre concerné à condition que la concordance des conditions relatives au degré d'invalidité entre les législations de ces Etats membres soit reconnue à l'annexe VII dudit règlement. Or tel n'est pas le cas entre la Suisse et les autres Etats membres (cf. ATF 130 V 253 consid. 2.4).</w:t>
      </w:r>
    </w:p>
    <w:p>
      <w:r>
        <w:rPr>
          <w:b/>
        </w:rPr>
        <w:t>E. 3.5</w:t>
      </w:r>
    </w:p>
    <w:p>
      <w:r>
        <w:t>De jurisprudence constante, l'octroi d'une rente étrangère d'invalidité ne préjuge pas l'appréciation de l'invalidité selon la loi suisse (ATF 130 V 253 consid. 2.4; arrêt du TF I 435/02 consid. 2 du 4 février 2003). Même après l'entrée en vigueur de l'ALCP, le degré d'invalidité d'un assuré qui prétend à une rente de l'assurance-invalidité suisse est déterminé exclusivement d'après le droit suisse (ATF 130 V 253 consid. 2.4 ; arrêt du TF 9C_573/2012 du 16 janvier 2013 consid. 4). Cela étant, la documentation médicale et administrative fournie par les institutions de sécurité sociale d'un autre Etat membre doit être prise en considération (art. 49 al. 2 du règlement 987/2009).</w:t>
      </w:r>
    </w:p>
    <w:p>
      <w:r>
        <w:rPr>
          <w:b/>
        </w:rPr>
        <w:t>E. 4</w:t>
      </w:r>
    </w:p>
    <w:p>
      <w:r>
        <w:t>L'objet de la contestation est le bien-fondé du refus par l'OAIE du droit à des prestations de l'assurance-invalidité, en l'occurrence le droit à une rente, au motif que l'assuré ne présente pas d'invalidité au sens de la loi eu égard à sa capacité de travail entière dans une activité adaptée respectant ses limitations fonctionnelles malgré l'atteinte à la santé.</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 883/2004). Le recourant a versé des cotisations à l'AVS/AI pendant plus de 3 ans et remplit donc la condition de la durée minimale de cotisations eu égard au moment de l'ouverture éventuelle du droit à la rente. Il reste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6.3</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 Meyer/Reichmuth, Bundesgesetz über die Invalidenversicherung [IV], 3e éd. 2014, art. 28 n° 32); - au terme de cette année, il est invalide (art. 8 LPGA) à 40 % au moins (let. c).</w:t>
      </w:r>
    </w:p>
    <w:p>
      <w:r>
        <w:rPr>
          <w:b/>
        </w:rPr>
        <w:t>E. 6.4</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3.1), la restriction prévue à l'art. 29 al. 4 LAI n'est pas applicable lorsqu'un assuré est un ressortissant suisse ou de l'UE et réside dans l'un des Etats membres de l'UE (ATF 130 V 253 consid. 2.3; art. 4 et 7 du règlement n° 883/04).</w:t>
      </w:r>
    </w:p>
    <w:p>
      <w:r>
        <w:rPr>
          <w:b/>
        </w:rPr>
        <w:t>E. 6.5</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w:t>
      </w:r>
    </w:p>
    <w:p>
      <w:r>
        <w:rPr>
          <w:b/>
        </w:rPr>
        <w:t>E. 7.1</w:t>
      </w:r>
    </w:p>
    <w:p>
      <w:r>
        <w:t>Le recourant a travaillé en dernier lieu en Espagne comme marin pêcheur côtier, mais son activité déterminante pour l'évaluation de son invalidité économique est celle de maçon qu'il a exercé plus de 30 ans en Suisse et en tant qu'indépendant en Espagne. Il a cessé toute activité en décembre 2012. Le 4 juillet 2013 il déposa une demande de rente d'invalidité (pce 1).</w:t>
      </w:r>
    </w:p>
    <w:p>
      <w:r>
        <w:rPr>
          <w:b/>
        </w:rPr>
        <w:t>E. 7.2</w:t>
      </w:r>
    </w:p>
    <w:p>
      <w:r>
        <w:t>Selon l'art. 16 LPGA, pour les assurés ayant exercé précédemment une activité lucrative à plein temps,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C'est la méthode générale de comparaison des revenus (ATF 137 V 334 consid. 3.1.1) avec les sous variantes de la méthode de comparaison en pourcent quand les revenus à comparer ne peuvent être déterminés avec précision et doivent dès lors être estimées selon les circonstances du cas particulier et les valeurs approchantes inférées comparées (ATF 114 V 310 consid. 3a et les références), de la méthode extraordinaire de comparaison des revenus (ATF 128 V 29 ; arrêt du TF 9C_236/2009 du 7 octobre 2009 consid. 3 s. ; infra 7.3 , méthode appliquée notamment aux indépendants) et de mise en parallèle de revenus si l'assuré valide s'est contenté d'un gain modeste (ATF 135 V 58 consid. 3.1, ATF 134 V 322 consid. 4.1 ; sur ces méthodes voir ég. Michel Valterio, Droit de l'assurance-vieillesse et survivants [AVS] et de l'assurance-invalidité [AI], 2011, n° 2040 ss, 2060 ss).</w:t>
      </w:r>
    </w:p>
    <w:p>
      <w:r>
        <w:rPr>
          <w:b/>
        </w:rPr>
        <w:t>E. 7.3</w:t>
      </w:r>
    </w:p>
    <w:p>
      <w:r>
        <w:t>Dans les cas où on ne peut déterminer ou évaluer sûrement les deux revenus avant et après invalidité (cf. arrêt du TF 9C_236/2009 cité consid. 3.2) il faut en s'inspirant de la méthode spécifique pour personne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arrêt du TF 9C_236/2009 cité consid. 3.2 ; Valterio, op. cit., n° 2183). Le revenu sans invalidité est déterminé en tenant compte de l'évolution de l'activité que l'assuré aurait exercée sans l'atteinte à la santé, eu égard à ses compétences professionnelles et personnelles, au type d'activité, à la situation économique et au développement de l'entreprise. Les revenus ou les résultats d'exploitation moyens d'entreprises semblables peuvent servir de base pour évaluer le revenu hypothétique (arrêts du TF 9C_502/2014 du 5 septembre 2014 consid. 3 et les références; Meyer/Reichmuth, op. cit., p. 307). Toutefois, si l'intéressé a cessé toute activité indépendante, on peut renoncer à l'application de la méthode de calcul extraordinaire et appliquer la méthode générale. Dans ce cas-là, en effet, la comparaison des activités exercées avant et après la survenance de l'invalidité n'est plus possible (Valterio, op. cit. n° 2184; arrêt du TF I 499/02 du 17 juin 2003 consid. 6, I 842/05 du 1er juin 2006 consid. 5.2.2 et les références). In casu il peut être retenu que l'intéressé n'exerce plus son ancienne activité de maçon, ni celle de marin pêcheur.</w:t>
      </w:r>
    </w:p>
    <w:p>
      <w:r>
        <w:rPr>
          <w:b/>
        </w:rPr>
        <w:t>E. 7.4</w:t>
      </w:r>
    </w:p>
    <w:p>
      <w:r>
        <w:t>Dans le cadre de la méthode générale et également dans le cadre d'autres méthodes, telle la méthode spécifique pour les personnes sans activité lucrative et la méthode extraordinaire applicable aux indépendants, la loi ne connaît pas d'autres systèmes d'évaluation, telle notamment l'appréciation médico-théorique sur la base de tabelles d'invalidité ou l'appréciation abstraite sur les seules bases médicales sans tenir compte de l'incidence économique de l'atteinte à la santé (Valterio, op. cit., n° 2042). La méthode d'évaluation de l'invalidité valable à un moment donné ne saurait préjuger le futur statut juridique de l'assuré. Le critère de l'incapacité de gain (art. 16 LPGA) peut succéder à celui de l'empêchement d'accomplir ses travaux habituels (art. 5 al. 1 LAI) ou inversement sans que l'état de santé ait subi des modifications (Valterio, op. cit. n° 2051 et les références).</w:t>
      </w:r>
    </w:p>
    <w:p>
      <w:r>
        <w:rPr>
          <w:b/>
        </w:rPr>
        <w:t>E. 7.5</w:t>
      </w:r>
    </w:p>
    <w:p>
      <w:r>
        <w:t>Selon une jurisprudence constante,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ATF 125 V 256 consid. 4; ATF 115 V 133 consid. 2; ATF 114 V 310 consid. 3c; ATF 105 V 156 consid. 1; voir ég. ATF 140 V 193 consid. 3.2).</w:t>
      </w:r>
    </w:p>
    <w:p>
      <w:r>
        <w:rPr>
          <w:b/>
        </w:rPr>
        <w:t>E. 8.1</w:t>
      </w:r>
    </w:p>
    <w:p>
      <w:r>
        <w:t>Selon l'art. 43 al. 1, 1ère phrase, LPGA l'assureur examine les demandes, prend d'office les mesures d'instruction nécessaires et recueille les renseignements dont il a besoin. La loi attribue à l'administration la tâche d'éclaircir la situation de fait juridiquement déterminante selon le principe inquisitoire de façon correcte et complète de sorte que fondée sur les faits établis la décision quant aux prestations à allouer (cf. l'art. 49 LPGA) puisse être prise. S'agissant de l'assurance-invalidité ces tâches sont de la compétence de l'office de l'assurance-invalidité compétent ratione loci (Office AI, art. 54-56 en relation avec l'art. 57 al. 1 let. c-g LAI). 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d'un service médical régional doivent, comme tout expert, disposer des compétences professionnelles nécessaires (Valterio, op. cit., n° 2596).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(cf. arrêts du TF I 142/07 du 20 novembre 2007 consid. 3.2.3 et 9C_323/2009 du 14 juillet 2009 consid. 4.3.1).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w:t>
      </w:r>
    </w:p>
    <w:p>
      <w:r>
        <w:rPr>
          <w:b/>
        </w:rPr>
        <w:t>E. 8.2</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ATF 137 V 210 consid. 6.2.4 ; arrêt du TF 9C_165/2015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 2008 du 17 décembre 2009 consid. 7.2; cf. également arrêt du TF 9C_462/ 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 du TF 9C_25/2015 du 1er mai 2015 consid. 4.1; Valterio, op. cit. n° 2920).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8.3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134 V 231 consid. 5.1, ATF 125 V 351 consid. 3a et les références). Au demeurant, l'élément déterminant pour la valeur probante n'est ni l'origine du moyen de preuve ni sa désignation comme rapport ou comme expertise, mais bel et bien son contenu (ATF 125 V 351 consid. 3, 135 V 465 consid. 4.4; arrêt du TF 9C_555/2015 du 23 mars 2016 consid 5.2). La valeur probante d'une expertise est de plus liée à la condition que l'expert dispose de la formation spécialisée nécessaire, de compétences professionnelles dans le domaine d'investigation (cf. arrêts du TF 9C_745/2010 du 30 mars 2011 consid. 3.2 et la référence, 9C_59/2010 du 11 juin 2010 consid. 4.1 ; cf. Valterio, op. cit. n° 2912).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aussi les arrêts du Tribunal fédéral 9C_748/2013 du 10 février 2014 consid. 4.1.1 et 4.1.2, I 131/03 du 22 mars 2004 consid. 2.2).</w:t>
      </w:r>
    </w:p>
    <w:p>
      <w:r>
        <w:rPr>
          <w:b/>
        </w:rPr>
        <w:t>E. 8.4</w:t>
      </w:r>
    </w:p>
    <w:p>
      <w:r>
        <w:t>La jurisprudence a posé des lignes directrices en ce qui concerne la manière d'apprécier certains types d'expertise ou de rapports médicaux. Le juge procède à cette appréciation selon le principe de la libre appréciation des preuves selon les types de rapports médicaux et expertises (ATF 125 V 351 consid. 3b).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arrêt du TF I 701/04 du 27 juillet 2005 consid. 2.1.2). 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123 V 175 consid. 3d; 125 V 351 consid. 3b ee;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TF U 365/06 du 26 janvier 2007 consid. 4.1). Quant aux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ou une expertise de partie est établi à la demande d'une partie et est produit pendant la procédure ne justifie pas en soi des doutes quant à sa valeur probante (cf. ATF 125 précité consid. 3b/dd et les références citées).</w:t>
      </w:r>
    </w:p>
    <w:p>
      <w:r>
        <w:rPr>
          <w:b/>
        </w:rPr>
        <w:t>E. 8.5</w:t>
      </w:r>
    </w:p>
    <w:p>
      <w:r>
        <w:t>Dans le domaine des assurances sociales, l'administration, et le cas échéant le Tribunal,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121 V 47 consid. 2a et 208 consid. 6b ainsi que les références).</w:t>
      </w:r>
    </w:p>
    <w:p>
      <w:r>
        <w:rPr>
          <w:b/>
        </w:rPr>
        <w:t>E. 9</w:t>
      </w:r>
    </w:p>
    <w:p>
      <w:r>
        <w:t>Est litigieuse la question du droit à une rente d'invalidité en faveur de l'intéressé à compter du 1er janvier 2014 compte tenu du dépôt de la demande de prestations d'invalidité du 4 juillet 2013 auprès de l'INSS (cf. supra A et consid. 6.5).</w:t>
      </w:r>
    </w:p>
    <w:p>
      <w:r>
        <w:rPr>
          <w:b/>
        </w:rPr>
        <w:t>E. 10.1</w:t>
      </w:r>
    </w:p>
    <w:p>
      <w:r>
        <w:t>L'OAIE fonda le rejet de rente dans sa décision du 1er septembre 2014 au motif qu'il était apparu du dossier qu'il existait une atteinte à la santé qui provoquait des limitations fonctionnelles imposant une activité légère avec marche limitée sur terrain plat et que l'incapacité de travail dans la dernière activité exercée en tant que pêcheur et maçon était de 80%, mais qu'en revanche l'incapacité de travail dans l'exercice d'une activité respectant les limitations fonctionnelles précitées était de 0% avec une diminution de la capacité de gain de 37%. Il précisa que si les séquelles de la polyneuropathie des membres inférieurs ne permettaient plus d'exercer sa dernière activité, elles restaient compatibles avec une activité respectant les limitations mentionnées ci-dessus (cf. supra F). Cette décision s'est appuyée principalement sur la prise de position du Dr B._______, FMH médecine interne générale, du SMR, du 15 juin 2014, qui s'est déterminé après un complément de documentation médicale requis (cf. rapport du 1er mars 2013) sur les plans neurologique, neuro-psychiatrique et orthopédique, mais cependant sans avoir obtenu de rapport orthopédique. Ce médecin retint une polyneuropathie d'origine alcoolique générant une instabilité à la marche nécessitant vu les limitations fonctionnelles un travail en position assise sans travaux lourds avec un périmètre de marche limité, pas en terrain irrégulier. Il releva sur le plan psychique que le médecin psychiatre espagnol n'avait retenu des atteintes qu'ayant une incidence marginale de 15%. Sur la base de son diagnostic et des limitations fonctionnelles retenues, il indiqua comme adaptées les activités d'ouvrier non qualifié / manoeuvre dans une usine / fabrique / production en général, de concierge / gardien d'immeuble / de chantier, magasinier / gestion des stocks, réparation de petits appareils / articles domestiques (cf. supra D). Sur ces propositions d'activités l'OAIE effectua une évaluation économique de l'invalidité prenant en compte principalement des activités notamment en position assise qui demande une pleine mobilité des membres supérieurs et en plus des activités telles le commerce de gros et les services personnels (cf. supra E). Dans sa réponse au recours l'OAIE souligna que malgré les atteintes à la santé de l'intéressé celui-ci était en mesure d'exercer des activités plus légères comme concierge ou magasinier à plein temps (cf. supra I).</w:t>
      </w:r>
    </w:p>
    <w:p>
      <w:r>
        <w:rPr>
          <w:b/>
        </w:rPr>
        <w:t>E. 10.2</w:t>
      </w:r>
    </w:p>
    <w:p>
      <w:r>
        <w:t>L'intéressé s'opposa au rejet de prestations de l'AI en un premier temps à la suite du projet de décision mais ses déterminations parvinrent à l'OAIE peu après le prononcé de la décision de sorte que ses déterminations furent reprises en procédure de recours. Il indiqua notamment souffrir de lombarthrose avec spondylolisthesis et compromission foraminée L5-S1, polyneuropathie distale aux membres inférieurs et supérieurs. Il souligna que vu que sa polyneuropathie affectait tant ses membres inférieurs que supérieurs il ne pouvait exercer quelque activité rémunérée que ce soit, ce d'autant plus vu sa formation scolaire limitée et son milieu rural. A l'appui de ses allégués il joignit un rapport médical du Dr E._______ faisant état non seulement de la polyneuropathie distale affectant les membres inférieurs mais aussi de la polyneuropathie au niveau des extrémités supérieures constatée par le Dr C._______ avec une perte de la force de préhension aux deux membres supérieurs. Il se référa également à un rapport médical de la Dre F._______ qui, en plus de relever les atteintes connues aux membres inférieurs et le diagnostic d'existence d'un cadre progressif d'ataxie à la marche, nota une force conservée au niveau des membres supérieurs mais indiqua une faiblesse de la flexion extension des deux poignets, des manoeuvres de la pince et de la flexion des doigts. Dans ses écritures ultérieures il souligna le caractère incompatible de l'activité de concierge et de magasinier avec ses atteintes à la santé vu ses atteintes au niveau des membres inférieurs. Il s'appuya également sur un document médical du CHU de Santiago de Compostelle (p. 3 de 3 non daté, non signé, mais indubitablement le concernant vu son nom indiqué) indiquant entre autres constatations un status neurologique cliniquement stable, une légère faiblesse du mouvement de pince, prédominant à droite 4+/5, une hypoesthésie tactile, algique en gant et chaussette, une altération de la sensibilité vibratoire et arthrocinétique des membres inférieurs, une indication selon une IRM cérébro-cervicale d'atrophie cérébrale corticale, données compatibles avec une dégénérescence combinée subaiguë, des données indicatives d'une radiculopathie en L5 gauche (cf. supra L). Enfin il releva que les actes produits ne faisaient pas de la consommation d'alcool l'origine de ses atteintes à la santé (cf. supra O).</w:t>
      </w:r>
    </w:p>
    <w:p>
      <w:r>
        <w:rPr>
          <w:b/>
        </w:rPr>
        <w:t>E. 11.1</w:t>
      </w:r>
    </w:p>
    <w:p>
      <w:r>
        <w:t>L'assuré présente des atteintes à la santé au niveau neurologique, affectant indubitablement ses membres inférieurs et selon certaines pièces au dossier ses membres supérieurs, orthopédique, affectant son dos au niveau lombaire, et psychiatrique, dans une mesure appréciée marginale dans le rapport du médecin psychiatre espagnol. L'intéressé souffre également d'alcoolisme. Bien qu'il estime que cette addiction ne soit pas à l'origine de ses atteintes à la santé ayant une incidence sur sa capacité de travail (cf. supra O), cette addiction objectivement importante est une composante de l'appréciation de son état de santé au regard de l'AI.</w:t>
      </w:r>
    </w:p>
    <w:p>
      <w:r>
        <w:rPr>
          <w:b/>
        </w:rPr>
        <w:t>E. 11.1.1</w:t>
      </w:r>
    </w:p>
    <w:p>
      <w:r>
        <w:t>Selon la jurisprudence constante concernant les dépendances similaires que sont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 124 V 265 consid. 3c ; pour des exemples, cf. arrêt du TF I 360/06 du 6 septembre 2006 consid. 2.1). Pour évaluer si cette condition est réalisée, la situation de fait doit faire l'objet d'une appréciation globale incluant aussi bien les causes que les conséquences de la dépendance, ce qui implique de tenir compte d'une éventuelle interaction entre dépendance et comorbidité psychiatrique (arrêt du TF 9C_960/2009 du 24 février 2010 consid. 2.2). Sous l'angle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arrêt du TF I 169/06 du 8 août 2006 consid. 2.2 et les arrêts cités; 9C_395/2007 du 15 avril 2008 consid. 2.2 ; 9C_960/2009 loc. cit. ; Valterio, op. cit., n° 1195 ; ; pour des exemples, cf. arrêt du TF I 360/06 du 6 septembre 2006 consid. 2.1). Sous l'angle somatique une dépendance à des substances/produits toxiques comme l'alcool ne constitue pas en soi une invalidité au sens de la loi. En revanche, elle joue un rôle dans l'assurance-invalidité, on l'a indiqué, lorsqu'elle a provoqué une maladie ou un accident qui entraîne une atteinte à la santé physique ou mentale, nuisant à la capacité de gain, ou si elle résulte elle-même d'une atteinte à la santé physique ou mentale qui a valeur de maladie (cf. p. ex. arrêt du TF I 396/05 du 15 juin 2006 consid. 4.2 s. en relation avec les atteintes de cirrhose hépatique d'origine alcoolique, de varices oesophagiennes de premier degré; arrêt du TF I 645/03 du 22 décembre 2004 consid. 4 en relation avec les atteintes de polyneuropathie toxique des membres inférieurs sur consommation d'alcool, d'hépatopathie d'origine alcoolique, d'emphysème pulmonaire probable sur tabagisme ; arrêt du TF I 360/06 du 6 septembre 2006 consid. 2 en relation avec les atteintes lésion organique du cerveau, de déficit mnésique et des fonctions cognitives, de polyneuropathie ; arrêt du TF 9C_315/2013 du 22 octobre 2013 consid. 4.2 en relation avec des limitations cognitives, une atrophie du lobe temporal [cf. aussi : atrophie cérébrale corticale]).</w:t>
      </w:r>
    </w:p>
    <w:p>
      <w:r>
        <w:rPr>
          <w:b/>
        </w:rPr>
        <w:t>E. 11.1.2</w:t>
      </w:r>
    </w:p>
    <w:p>
      <w:r>
        <w:t>On ne saurait cependant admettre une invalidité lorsqu'il apparaît que, moyennant abstinence, l'assuré serait à même de recouvrer une capacité de travail excluant l'octroi d'une rente (cf. arrêt du TF 9C_51/2007 du 29 octobre 2007 consid. 5.3).</w:t>
      </w:r>
    </w:p>
    <w:p>
      <w:r>
        <w:rPr>
          <w:b/>
        </w:rPr>
        <w:t>E. 11.2</w:t>
      </w:r>
    </w:p>
    <w:p>
      <w:r>
        <w:t>Selon l'art. 43 al. 1, 1ère phrase, LPGA l'assureur a la tâche d'éclaircir la situation de fait juridiquement déterminante selon le principe inquisitoire de façon correcte et complète de sorte que fondée sur les faits établis la décision quant aux prestations à allouer (cf. l'art. 49 LPGA) puisse être prise. Selon l'art. 59 al. 2 et 2bis LAI, les services médicaux régionaux (SMR) interdisciplinaires sont à la disposition des offices AI pour évaluer les conditions médicales du droit aux prestations. Les médecins d'un service médical régional doivent, comme tout expert, disposer des compétences professionnelles nécessaires (Valterio, op. cit., n° 2596). Leurs qualifications spécialisées sont essentielles pour l'appréciation juridique de leurs prises de position et expertises. Il sied de rappeler que tant l'administration que les tribunaux doivent pouvoir se référer aux connaissances spécialisées des médecins et experts quant au bien-fondé des conclusions d'un rapport ou d'une expertise (cf. arrêts du TF I 142/07 du 20 novembre 2007 consid. 3.2.3 et 9C_323/2009 du 14 juillet 2009 consid. 4.3.1 ; cf. supra consid. 8.1). En l'espèce le dossier n'a été soumis qu'à l'appréciation du Dr B._______, FMH médecine interne générale, du SMR qui, alors que le dossier présente des atteintes à la santé ne concernant pas sa spécialisation, n'a pas requis l'avis de confrères du SMR pour fonder son appréciation. Par ailleurs, appréciant à juste titre en un premier temps sur dossier la nécessité de disposer d'un rapport orthopédique au vu des atteintes lombaires le Dr B._______, n'ayant pas reçu ce rapport de l'OAIE, respectivement de l'INSS, se prononça sur le dossier sans en avoir les éléments nécessaires. On peut sans nul doute relever qu'un rapport orthopédique était nécessaire et aurait permis vu l'indication au dossier de lombarthrose marquée et compromission des foramens (RMN du 16 avril 2013) de tempérer les propositions d'activités de substitution eu égard également à la polyneuropathie distale retenue par lui-même aux membres inférieurs donnant lieu à une ataxie. La prise de position du SMR ayant été formellement viciée par une attribution pour appréciation et une acceptation de mandat non effectuées legis artis, le recours peut déjà pour ce motif être admis.</w:t>
      </w:r>
    </w:p>
    <w:p>
      <w:r>
        <w:rPr>
          <w:b/>
        </w:rPr>
        <w:t>E. 11.3</w:t>
      </w:r>
    </w:p>
    <w:p>
      <w:r>
        <w:t>Sur le plan neurologique le Dr B._______, n'a pris en compte sous l'angle médical que les atteintes à la santé des membres inférieurs. Il n'a pas pris en compte les atteintes invoquées au niveau des membres supérieurs sans qu'il ne se soit prononcé à ce sujet permettant de comprendre pour quelles raisons l'assuré serait alors en mesure d'effectuer toutes activités à une cadence industrielle avec les membres supérieurs, alors qu'ont été relevé par les Drs E._______ et C._______ une perte de la force de préhension aux deux membres supérieurs et par la Dre F._______ une faiblesse de la flexion extension des deux poignets, des manoeuvres de la pince et de la flexion des doigts. Par ailleurs les limitations fonctionnelles (travail en position assise sans travaux lourds, périmètre de marche limité, pas en terrain irrégulier) que le Dr B._______ retient compte tenu des atteintes aux membres inférieurs ne sont pas en adéquation avec une partie de ses propositions de travail avec invalidité. Il n'est en effet pas possible de suggérer une activité de concierge (relevée encore dans la réponse au recours de l'OAIE comme exemplative d'un travail adapté [supra I] avec celle de magasinier) et de gardien de chantier à une personne atteinte de polyneuropathie distale avec ataxie et anesthésie arthrocinétique aux deux pieds, hypoesthésie au niveau de la chaussette, vu les risques majeurs non seulement de chutes mais aussi de blessures aux pieds non ressenties avec complications graves potentielles. Ce qui interdit les activités sur sols accidentés tels ceux de chantiers de construction (nécessité de parcourir les chantiers généralement d'une certaine importance si un gardien est engagé sur différents niveaux sans ascenseur en fonction) pour en surveiller les accès et les présences indues mais aussi les activités de concierge professionnel (poste nécessairement à un taux d'activité important pour être retenu par l'AI) qui suppose un travail de la cave aux combles d'une personne ayant une bonne mobilité ne pouvant exercer cette activité en position principalement assise. S'agissant de l'activité de magasinier à un poste exercée professionnellement, mise à part celle qui serait exercée derrière un écran (l'intéressé paraît ne pas en avoir les compétences), on ne voit pas comment une personne devant exercer son travail en position assise avec un périmètre de marche limité pourrait l'exercer. Enfin, dans la mesure où les atteintes neurologiques aux membres supérieurs sont effectives, ce qui sur la base des avis médicaux au dossier paraît l'être mais non avec une certitude absolue, l'évaluation économique de l'invalidité (cf. supra E) qui se fonde principalement sur des activités dans l'industrie et la production (en position assise possible) avec usages des membres supérieurs n'est pas adéquate.</w:t>
      </w:r>
    </w:p>
    <w:p>
      <w:r>
        <w:rPr>
          <w:b/>
        </w:rPr>
        <w:t>E. 11.4</w:t>
      </w:r>
    </w:p>
    <w:p>
      <w:r>
        <w:t>Sur le plan orthopédique, comme il l'a été relevé, alors que le Dr B._______ avait à juste titre sollicité un rapport orthopédique dans sa prise de position du 1er mars 2014, il a renoncé à ce rapport selon les actes à disposition, non envoyé par l'INSS, dans son appréciation sur dossier des atteintes à la santé de l'intéressé, sans en indiquer les motifs. Or précisément il appert du dossier une lombarthrose marquée avec spondylolysthésis, compromission foraminée L5-S1 et suspicion de radiculopathie en S1. Par ailleurs, comme également relevé, il est possible que le rapport orthopédique aurait fait un lien avec les atteintes neurologiques qui aurait été utile à l'évaluation de la capacité de travail résiduelle. Manque qui, on l'a relevé, a donné lieu à une appréciation par le Dr B._______ et le service d'évaluation économique de l'invalidité de l'OAIE que le Tribunal de céans ne peut suivre. En renonçant à ce rapport le Dr B._______ s'est privé d'un rapport essentiel à son mandat avec un confrère orthopédiste du SMR d'appréciation sur dossier, de sorte que le dossier n'a pas été apprécié lege artis. Il sied de rappeler que la valeur probante des rapports sur dossier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 2008 du 17 décembre 2009 consid. 7.2; cf. également arrêt du TF 9C_462/ 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au dossier sur lesquels les médecins du SMR doivent se fonder (ATF 139 V 225 consid. 5.2, 135 V 465 consid. 4.4, 122 V 157 consid. 1d; arrêt du TF 9C_25/2015 du 1er mai 2015 consid. 4.1; Valterio, op. cit. n° 2920).</w:t>
      </w:r>
    </w:p>
    <w:p>
      <w:r>
        <w:rPr>
          <w:b/>
        </w:rPr>
        <w:t>E. 11.5</w:t>
      </w:r>
    </w:p>
    <w:p>
      <w:r>
        <w:t>Sur le plan psychique il appert que le rapport du Dr D._______, du 27 avril 2014, bien que très synthétique, posant le diagnostic de dépendance à l'alcool (F10.25) avec une incapacité pour le travail évaluée à 15%, est probant. Il n'y a pas d'élément au dossier qui le contredise. Le rapport du Dr C._______, neurologue, du 29 avril 2014, produit par l'assuré, relève aussi en quelques lignes un niveau de conscience et des fonctions cognitives adéquates, pas de dysarthrie, pas de nystagmus. La problématique de l'éthylisme est posée et relevée objectivement importante par le Dr D._______. Si à la date de l'examen clinique le Dr D._______ a pu apprécier que cette problématique n'avait qu'une incidence marginale sur la capacité de travail de l'intéressé, il sied toutefois de prendre en compte qu'une telle problématique peut rapidement évoluer et qu'une évaluation à temps rapprocher s'impose. Il y a par ailleurs lieu de relever que le Dr D._______ a relevé une hypomnésie générale (trouble de la mémoire avec une faiblesse générale des capacités mnésiques) qui avec le temps a pu s'accentuer. Il sied aussi de rappeler qu'une grande partie des atteintes à la santé de l'intéressé ont pour origine un abus d'alcool et dont l'alcool n'est pas étranger à la polyneuropathie dont souffre l'intéressé. Aussi il sied de relever que le rapport du CHU de Santiago de Compostelle du 16 décembre 2014 indique selon une IRM cérébrocervicale une indication d'atrophie cérébrale corticale, données compatibles, avec une dégénérescence combinée subaiguë (cf. supra L).</w:t>
      </w:r>
    </w:p>
    <w:p>
      <w:r>
        <w:rPr>
          <w:b/>
        </w:rPr>
        <w:t>E. 12</w:t>
      </w:r>
    </w:p>
    <w:p>
      <w:r>
        <w:t>Vu ce qui précède, l'état de santé de l'intéressé n'ayant pas été établi legis arte et ses limitations fonctionnelles, dans la mesure où elles ne s'avéreraient qu'être délimitées aux membres inférieurs, ayant été retenues de façon contradictoire et arbitraire, il se justifie d'annuler la décision entreprise et de renvoyer la cause à l'autorité inférieure pour complément d'instruction et nouvelle décision. Le renvoi est indiqué en l'espèce en application de l'art. 61 al. 1 PA, bien qu'il doive rester exceptionnel compte tenu de l'exigence de la célérité de la procédure (cf. art. 29 de la Constitution fédérale (Cst., RS 101; arrêt du TF 8C_633/2014 du 11 décembre 2014 consid. 2.2).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arrêt du TF 8C_633/ 2014 du 11 décembre 2014 consid. 3.2 et 3.3). Pour sa nouvelle décision portant sur la question du droit de l'intéressé à une rente à compter 1er avril 2014, l'autorité inférieure actualisera le dossier médical à la date de sa nouvelle décision. Elle entreprendra toutes les investigations médicales nécessaires pour l'établissement complet et actuel de l'état de santé de l'assuré et de son évolution pour pouvoir établir l'état de santé somatique et psychique y compris l'incidence des effets somatiques et psychiques de l'abus chronique d'alcool ainsi que les incidences des autres atteintes à la santé sur la capacité de travail (art. 43 al. 1 LPGA). Elle sollicitera pour ce faire une expertise en Suisse comprenant les volets neurologique, psychiatrique (si nécessaire avec un volet neuropsychologique) et orthopédique. Elle requerra des experts neurologue et psychiatre une prise de position étayée conciliée de la problématique de l'alcoolisme dont souffre l'intéressé et de ses effets neurologiques, psychiques et neuropsychologiques, dont le caractère actuel de l'exigibilité d'une abstinence compte tenu de la pathologie existante, afin que puisse être déterminée dans quelle mesure l'addiction en question influe sur sa capacité de travail dans une activité adaptée. La coordination des spécialisations est selon la pratique constante une part centrale de l'interdisciplinarité. Les experts mandatés sont en dernier lieu responsables de la qualité et complétude des rapports établis dans un cadre interdisciplinaire et des conclusions interdisciplinaires retenues mais aussi d'examens effectués selon le principe d'économicité (cf. ATF 139 V 349 consid. 3.3).</w:t>
      </w:r>
    </w:p>
    <w:p>
      <w:r>
        <w:rPr>
          <w:b/>
        </w:rPr>
        <w:t>E. 12.1</w:t>
      </w:r>
    </w:p>
    <w:p>
      <w:r>
        <w:t>Selon la jurisprudence la partie qui a formé recours contre une décision en matière de prestations sociales est réputée avoir obtenu gain de cause lorsque la cause est renvoyée à l'administration pour instruction complémentaire et nouvelle décision (ATF 132 V 215 consid. 5.6).</w:t>
      </w:r>
    </w:p>
    <w:p>
      <w:r>
        <w:rPr>
          <w:b/>
        </w:rPr>
        <w:t>E. 12.2</w:t>
      </w:r>
    </w:p>
    <w:p>
      <w:r>
        <w:t>Vu l'issue du recours il n'est pas perçu de frais de procédure (art. 63 al. 2 PA). L'avance de frais de 400.- francs fournie par le recourant en cours de procédure lui est restituée.</w:t>
      </w:r>
    </w:p>
    <w:p>
      <w:r>
        <w:rPr>
          <w:b/>
        </w:rPr>
        <w:t>E. 13</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En matière d'assurances sociales a obtenu gain de cause la partie dont l'issue de la procédure de recours l'a placée dans une situation de droit préférable à celle résultant de la fin de la procédure administrative ou dont l'issue du recours est un renvoi à l'autorité inférieure pour complément d'instruction et nouvelle décision (ATF 117 V 401 consid. 2c, ATF 132 V 215 consid. 6.2 ; voir aussi TF 9C_846/2015 consid. 3 et 9C_654/2009 consid. 5.2). Selon l'art. 14 FITAF les parties qui ont droit au dépens et les avocats commis d'office doivent faire parvenir avant le prononcé un décompte de leurs prestations au tribunal (al. 1). A défaut de décompte, le tribunal fixe l'indemnité sur la base du dossier (al. 2, 2e phr.). En l'espèce, le recourant a interjeté recours par lui-même sans se faire représenter mais il appert des écritures qu'il a eu recours aux services d'un professionnel du droit et qu'il a dû requérir des rapports médicaux afin d'étayer son recours. Il a concrètement eu des frais indispensables et relativement élevés au sens de l'art. 64 al. 1 PA. A ce titre il se justifie de lui accorder une indemnité de dépens ex aequo et bono de 1'000.- francs non soumise à la TVA (art. 1er et 8 de la loi fédérale du 12 juin 2009 régissant la taxe sur la valeur ajoutée [RS 641.20 ; LTVA]) à charge de l'autorité inférieure.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