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C-5463/2007 vom 11. Mai 2010</w:t>
      </w:r>
    </w:p>
    <w:p>
      <w:r>
        <w:t>Bundesverwaltungsgericht, 2010-05-11, FR</w:t>
      </w:r>
    </w:p>
    <w:p>
      <w:r>
        <w:rPr>
          <w:b/>
        </w:rPr>
        <w:t xml:space="preserve">Quelle: </w:t>
      </w:r>
      <w:r>
        <w:t>https://mcp.opencaselaw.ch/entscheid/bvger_C-5463_2007</w:t>
      </w:r>
    </w:p>
    <w:p>
      <w:r>
        <w:t>FR: TAF C-5463/2007 du 11 mai 2010</w:t>
      </w:r>
    </w:p>
    <w:p>
      <w:r>
        <w:t>IT: TAF C-5463/2007 del 11 maggio 2010</w:t>
      </w:r>
    </w:p>
    <w:p>
      <w:pPr>
        <w:pStyle w:val="Heading2"/>
      </w:pPr>
      <w:r>
        <w:t>Regeste</w:t>
      </w:r>
    </w:p>
    <w:p>
      <w:r>
        <w:t>Evaluation de l'invalidité</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26 juillet 2007 et marquant la limite dans le temps du pouvoir d'examen de l'autorité de recours (ATF 130 V 445 consid. 1.2), les modifications introduites par la novelle du 6 octobre 2006 (5e révision), entrées en vigueur le 1er janvier 2008 (RO 2007 5129), ne sont pas prises en considération.</w:t>
      </w:r>
    </w:p>
    <w:p>
      <w:r>
        <w:rPr>
          <w:b/>
        </w:rPr>
        <w:t>E. 3</w:t>
      </w:r>
    </w:p>
    <w:p>
      <w:r>
        <w:t>Le litige porte sur le droit de la recourante aux prestations de l'assurance-invalidité.</w:t>
      </w:r>
    </w:p>
    <w:p>
      <w:r>
        <w:rPr>
          <w:b/>
        </w:rPr>
        <w:t>E. 4</w:t>
      </w:r>
    </w:p>
    <w:p>
      <w:r>
        <w:t>Pour avoir droit à une rente de l'assurance-invalidité suisse, la recourante doit remplir cumulativement les conditions suivantes: être invalide au sens de la LPGA/LAI et avoir versé des cotisations à l'AVS/AI durant une année au moins (art. 36 al. 1 LAI). En l'espèce, la recourante a versé des cotisations à l'AVS/AI pendant plus d'une année au total et remplit, partant, la condition de la durée minimale de cotisations.</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5.5</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respectivement une incapacité à accomplir les travaux habituels pour les assurés n'exerçant pas d'activité lucrative et dont on ne peut exiger qu'ils le fassent,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w:t>
      </w:r>
    </w:p>
    <w:p>
      <w:r>
        <w:rPr>
          <w:b/>
        </w:rPr>
        <w:t>E. 6.1</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Quant à l'invalidité des assurés âgés de 20 ans ou plus qui n'exerçaient pas d'activité lucrative avant d'être atteints dans leur santé physique, mentale ou psychique et dont on ne saurait exiger qu'ils en exercent une, elle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corrélation avec les art. 27 du règlement du 17 janvier 1961 sur l'assurance-invalidité [RAI, RS 831.201] et 8 al. 3 LPGA).</w:t>
      </w:r>
    </w:p>
    <w:p>
      <w:r>
        <w:rPr>
          <w:b/>
        </w:rPr>
        <w:t>E. 6.2</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7.1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contient les résultats de l'examen des conditions médicales du droit aux prestations et une recommandation, sous l'angle médical, concernant la suite à donner à la demande de prestations. Ce rapport a de ce fait une autre fonction que les expertises médicales au sens de l'art. 44 LPGA.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 voir consid. 8.3).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7.2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7.3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8.1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w:t>
      </w:r>
    </w:p>
    <w:p>
      <w:r>
        <w:rPr>
          <w:b/>
        </w:rPr>
        <w:t>E. 8.2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En l'espèce, l'autorité inférieure a retenu que l'éventuelle invalidité de l'assurée devait être déterminée selon la méthode spécifique. Elle peut être suivie sur ce point. Le Tribunal de céans constate en effet que la recourante a travaillé de 1985 à 1992, abandonnant son travail en Suisse en raison de son retour au Portugal où elle n'a toutefois pas repris d'activité lucrative, alors que ses ennuis de santé, apparus quelques années plus tard, ne justifiaient pas un tel arrêt. D'ailleurs, aucun acte versé au dossier n'indique que l'assurée ait eu l'intention, depuis 1992, de reprendre une activité lucrative, même après que ses enfants, petits en 1992, ont grandi. La recourante, sans formation, n'a du reste pas fait valoir avoir cherché à exercer une activité lucrative. Dès lors, l'autorité de céans considère que si l'atteinte à la santé n'était pas survenue, la recourante aurait poursuivi son activité de ménagère et n'aurait pas repris d'activité lucrative, de sorte que son invalidité doit être évaluée dans le cadre de l'accomplissement des tâches domestiques, au moyen de la méthode spécifique.</w:t>
      </w:r>
    </w:p>
    <w:p>
      <w:r>
        <w:rPr>
          <w:b/>
        </w:rPr>
        <w:t>E. 9.2</w:t>
      </w:r>
    </w:p>
    <w:p>
      <w:r>
        <w:t>L'application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 attestée médicalement - du rendement fonctionnel dans l'accomplissement des travaux habituels.</w:t>
      </w:r>
    </w:p>
    <w:p>
      <w:r>
        <w:rPr>
          <w:b/>
        </w:rPr>
        <w:t>E. 9.3</w:t>
      </w:r>
    </w:p>
    <w:p>
      <w:r>
        <w:t>Il convient de relever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ATF 117 V394 consid. 4b p. 400, ATF 115 V 38 consid. 3d, ATF 114 V 281 consid. 3, ATF 111 V 235 consid. 2a). Le fait que l'assuré ne mette pas en valeur sa capacité résiduelle de travail pour des raisons étrangères à l'invalidité ne relève pas de l'assurance-invalidité, car il s'agit là de facteurs qui ne sont pas liés à l'invalidité et que l'assurance-invalidité n'est pas tenue de prendre en charge (RCC 1991 p. 329 consid. 3c). Ainsi, 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Il sied de préciser à cet égard qu'une incapacité relevante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Le fait que le devoir d'assistance mutuelle entre conjoints et entre parents et enfants ne soit pas réalisable ou exécutoire directement, pour autant qu'il soit fondé sur la bonne volonté et librement consenti, n'influe pas sur l'obligation de diminuer le dommage de l'assuré travaillant dans le ménage. En effet, il faut considérer, dans le domaine du travail domestique, ce qui, dans une réalité sociale, est usuel et exigible, indépendamment du fait que l'assistance soit effectivement réalisable (ATF 133 V 504 consid. 4.2 et les références, ATF 130 V 97 consid. 3.3.3, arrêt du Tribunal fédéral I 257/04 du 17 mars 2005 consid. 5.4.4). A noter que la jurisprudence rendue sur l'application de la méthode spécifique n'a pas été modifiée du fait de l'entrée en vigueur de la LPGA.</w:t>
      </w:r>
    </w:p>
    <w:p>
      <w:r>
        <w:rPr>
          <w:b/>
        </w:rPr>
        <w:t>E. 10</w:t>
      </w:r>
    </w:p>
    <w:p>
      <w:r>
        <w:t>Conformément à la jurisprudence du Tribunal fédéral, une enquête ménagère effectuée au domicile de la personne assurée constitue en règle générale une base appropriée et suffisante pour évaluer les empêchements dans l'accomplissement des travaux habituels (Pratique VSI 3/2001 p. 155 consid. 3c).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 du 8 janvier 2008 consid. 4.1, ATF 128 V 93). Malgré qu'en règle générale, une telle enquête ne soit pas réalisée auprès des assurés résidant à l'étranger, l'appréciation de l'incapacité de l'assuré dans l'accomplissement des travaux habituels doit néanmoins, dans la mesure du possible, se fonder sur des principes analogues. Cette appréciation reposera en particulier sur une documentation médicale et sur le questionnaire pour les assurés travaillant dans le ménage, bien que celui-ci, habituellement rempli par les assurés eux-mêmes, ne puisse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AI (arrêt du Tribunal fédéral I 407/03 du 15 septembre 2003 consid. 4.3).</w:t>
      </w:r>
    </w:p>
    <w:p>
      <w:r>
        <w:rPr>
          <w:b/>
        </w:rPr>
        <w:t>E. 10.1</w:t>
      </w:r>
    </w:p>
    <w:p>
      <w:r>
        <w:t>En l'espèce, il est établi que la recourante présente un status après opération pour hernie discale en octobre 2006 et des troubles dégénératifs de la colonne, ainsi qu'un status après cholécystectomie en juillet 2007. Il est également fait état en particulier de polyarthralgies, d'un trouble dépressif, d'une hystérectomie totale subie en février 2006 et d'un goitre multinodulaire. Faute d'un état de santé stabilisé, la let. a de l'art. 29 al. 1 LAI est inapplicable; seule peut entrer en considération la let. b de cette disposition prévoyant une période d'attente d'une année à partir du début de l'incapacité de travail pertinente pour la détermination du début du droit à la rente.</w:t>
      </w:r>
    </w:p>
    <w:p>
      <w:r>
        <w:rPr>
          <w:b/>
        </w:rPr>
        <w:t>E. 10.2</w:t>
      </w:r>
    </w:p>
    <w:p>
      <w:r>
        <w:t>S'agissant précisément de l'influence de la pathologie décrite sur la capacité de la recourante à accomplir ses travaux habituels, il ressort notamment du questionnaire pour assurés travaillant dans le ménage du 5 janvier 2007, que A._______ a elle-même rempli et signé, qu'elle est encore capable de prendre en charge les tâches ménagères, toutefois avec l'aide de son mari. Ainsi, l'assurée admet être en mesure de conduire le ménage et de s'occuper de ses enfants, qui toutefois, à la date du questionnaire, ont 14, 19 et 24 ans. S'agissant de l'alimentation, l'assurée déclare préparer les repas de manière autonome; il en est de même de la vaisselle et du nettoyage de la cuisine, cependant dans une moindre mesure. Concernant l'entretien de la maison individuelle de 6 pièces dans laquelle vit la famille, l'assurée affirme ne pas nettoyer les sols, ni les vitres, et ne pas faire les lits. Elle indique également ne pas pouvoir faire la lessive, alors que la famille dispose d'une machine à laver, ni étendre et dépendre le linge, ni repasser, raccommoder ou coudre. Pour les achats, la recourante déclare s'en charger avec son mari; les magasins, où ils se rendent en voiture, sont situés à 5 km environ de leur habitation. Enfin, elle n'effectuait pas, avant l'atteinte à la santé, et n'effectue toujours pas de tâches particulières, telles que l'entretien de plantes ou d'un jardin, la garde d'animaux domestiques, le soin à des tiers, la confection et la transformation de vêtements ou encore une activité publique. L'assurée relève qu'elle recourt, pour l'entretien du ménage ou pour d'autres tâches, à l'aide des membres de sa famille et non pas à celle de personnes étrangères au ménage. Il résulte ainsi du questionnaire du 5 janvier 2007 que la recourante peut encore s'acquitter seule d'une majeure partie des activités du ménage et qu'elle a développé, pour le reste, des méthodes de travail, en y intégrant de manière adéquate l'aide que peuvent lui apporter les membres de sa famille, de sorte qu'elle n'a pas besoin d'une aide extérieure devant être rémunérée. L'autorité de céans constate en outre que les informations fournies par la recourante sont crédibles, de sorte qu'il convient d'en tenir compte. Toutefois, attendu qu'elles proviennent de l'assurée elle-même et non pas d'une personne extérieure chargée d'une enquête ménagère, il y a lieu d'examiner également sur la base de la documentation médicale versée au dossier dans quelle mesure l'assurée subit une diminution de sa capacité de travail dans l'accomplissement des tâches domestiques.</w:t>
      </w:r>
    </w:p>
    <w:p>
      <w:r>
        <w:rPr>
          <w:b/>
        </w:rPr>
        <w:t>E. 10.3</w:t>
      </w:r>
    </w:p>
    <w:p>
      <w:r>
        <w:t>Sur le plan médical, il est à retenir que parmi les rapports médicaux versés au dossier par la recourante, qui contiennent nombre de diagnostics détaillés, rares sont ceux qui font état de limitations fonctionnelles, liées aux atteintes à la santé, ou d'une éventuelle incapacité de travail. Ainsi, seul le Dr N._______ se prononce à cet égard, déclarant dans son attestation médicale du 6 juin 2008, que l'activité quotidienne de la recourante se trouve limitée de manière significative en raison de cervicalgies chroniques. Au surplus, les Dresses K._______ et B._______ notent, le 19 octobre 2005 et le 17 novembre 2005 respectivement, que les polyarthralgies dont souffre l'assurée s'aggravent lors d'efforts et s'atténuent au repos. De leur côté, se fondant sur les documents versés au dossier, les Drs I._______ et P._______, du service médical de l'OAIE, ont retenu les diagnostics de status après opération pour hernie discale en octobre 2006, de troubles dégénératifs de la colonne et de trouble dépressif, estimant que ces diagnostics sont sans répercussion sur la capacité de travail de l'assurée. Le Dr I._______ constate ainsi, dans son avis du 4 mai 2007, confirmé par celui du 19 juillet 2007, l'absence d'atteinte incompatible avec le travail de ménagère et une invalidité de 0%. Il est suivi dans ses conclusions par le Dr P._______, qui estime, dans ses avis des 29 janvier et 22 août 2008, qu'aucune limitation fonctionnelle de l'activité, propre à justifier une rente d'invalidité, n'est établie avec vraisemblance. Ces médecins considèrent en effet que les troubles ostéoarticulaires de la recourante sont minimes malgré l'opération de la hernie discale, et que la cholécystectomie de juillet 2007, qui s'est déroulée sans complications, n'a pour conséquence qu'une incapacité de travail de quelques semaines, sans séquelles fonctionnelles par la suite. Sur le plan psychiatrique, le Dr I._______ juge que l'état dépressif dont il est fait état est vraisemblablement mineur, vu l'absence de prise en charge psychiatrique, et sans effet sur la capacité de travail dans le ménage, avis suivi par le Dr P._______.</w:t>
      </w:r>
    </w:p>
    <w:p>
      <w:r>
        <w:rPr>
          <w:b/>
        </w:rPr>
        <w:t>E. 10.4</w:t>
      </w:r>
    </w:p>
    <w:p>
      <w:r>
        <w:t>En l'espèce, l'autorité de céans n'a pas de motifs de se distancer des conclusions du service médical de l'OAIE, qui se fondent sur une analyse attentive et répétée des données médicales et résultats d'examens objectifs contenus dans le dossier, lesquels ne sauraient remettre en question l'appréciation de la capacité de travail de l'assurée par les Drs I._______ et P._______, quand bien même les conclusions qui y sont énoncées, s'agissant avant tout du Dr N._______, sont différentes de celles des médecins du service médical de l'OAIE.</w:t>
      </w:r>
    </w:p>
    <w:p>
      <w:r>
        <w:rPr>
          <w:b/>
        </w:rPr>
        <w:t>E. 10.4.1</w:t>
      </w:r>
    </w:p>
    <w:p>
      <w:r>
        <w:t>En effet, l'attestation médicale, datant du 6 juin 2008, dans laquelle le Dr N._______ note une limitation significative de l'activité quotidienne de l'assurée en raison de cervicalgies, est postérieure à la décision litigieuse du 26 juillet 2007, de sorte qu'elle n'est prise en compte que dans la mesure où elle concerne la période soumise à l'examen du Tribunal de céans, à savoir la période allant jusqu'au 26 juillet 2007, date de la décision litigieuse. Or, tel n'est pas le cas en l'espèce, puisque l'attestation du Dr N._______ relate et évalue la situation de la recourante au moment où elle est rédigée. Tout au plus pouvons-nous retenir ce document lorsqu'il parle de la décompression de la racine S1 subie du 2 au 3 décembre 2006 (recte: 3 octobre 2006), qui n'aurait pas apporté d'amélioration significative. Toutefois, le médecin ne précise pas s'il s'agit du constat d'une nouvelle dégradation de l'état de la racine S1 au moment de la rédaction de l'attestation de juin 2008 ou si l'opération de la hernie n'a jamais amélioré l'état de l'assurée. En outre, il ne décrit pas quelles ont pu être, en termes de capacité de travail et de limitations fonctionnelles, les conséquences du fait que l'opération n'aurait pas eu l'effet escompté. Il sied de noter encore, à cet égard, que les médecins du service médical de l'OAIE n'ont pas considéré que la capacité de travail de la recourante s'était modifiée entre la période précédant l'opération de la hernie et celle la suivant, puisqu'ils ont estimé que cette capacité était entière avant comme après. Il est à signaler enfin que quelles qu'aient été les suites de la décompression de la racine S1 selon le Dr N._______, il apparaît que les examens versés au dossier, effectués, d'ailleurs à la demande de ce médecin, après cette opération, en particulier la tomographie axiale de mai 2008, ne portent pas sur la racine S1, mais sur la colonne cervicale et font état d'atteintes que rapporte également le Dr N._______ dans son attestation du 6 juin 2008 et qui seraient, elles, la cause des limitations significatives dans l'activité quotidienne de l'assurée. En outre, le questionnaire pour assurés travaillant dans le ménage, dont il ressort que la recourante est encore capable de prendre en charge son ménage, moyennant une aide de la part de ses proches, a été complété après l'opération de la hernie. Notons, par souci de complétude, que le Dr N._______ a rapporté, dans son attestation, succincte, du 8 juin 2007, une « aggravation de la situation » sans qu'on puisse toutefois déterminer, en l'absence de tout élément objectif, s'il s'agit de la hernie opérée en octobre 2006 ou d'autres atteintes à la santé, ni dans quelle mesure a lieu cette aggravation, et sans qu'on puisse en déduire une modification de la capacité de travail de la recourante. D'ailleurs, les Drs I._______ et P._______ n'ont pas ignoré l'opération de la hernie, de même que, faisant référence dans l'avis du 19 juillet 2007 aux douleurs dont se plaint l'assurée, ils ont également tenu compte des polyarthralgies dont les Dresses K._______ et B._______ disent, dans leurs rapports des 19 octobre et 17 novembre 2005, qu'elles s'aggravent lors d'efforts et s'atténuent au repos; ils ont considéré cependant que les troubles ostéoarticulaires étaient minimes malgré l'opération de la hernie et, tout comme les douleurs ressenties par l'assurée, sans répercussion sur la capacité de travail, ce qui n'est pas contredit par les actes versés au dossier, et notamment par les Dresses K._______ et B._______ qui n'ont pas décrit de limitation fonctionnelle particulière ou conclu à une incapacité de travail en raison des polyarthralgies. S'agissant encore de la cholécystectomie par laparoscopie effectuée le 11 juillet 2007, le Dr P._______ a estimé que cette intervention, sans séquelles fonctionnelles, ne justifiait qu'une incapacité de travail de quelques semaines et qu'elle ne réduisait pas la capacité de travail de l'assurée à moyen et long terme, appréciation convaincante dans la mesure notamment où les documents médicaux produits par la recourante, postérieurs à la cholécystectomie, et en particulier l'attestation du Dr N._______ du 6 juin 2008 qui mentionne cette opération, ne font état d'aucun élément qui justifierait une prolongation de l'incapacité de travail.</w:t>
      </w:r>
    </w:p>
    <w:p>
      <w:r>
        <w:rPr>
          <w:b/>
        </w:rPr>
        <w:t>E. 10.4.2</w:t>
      </w:r>
    </w:p>
    <w:p>
      <w:r>
        <w:t>Sur le plan psychiatrique, la Cour de céans, suivant là encore l'avis des médecins du service médical de l'OAIE, relève que l'état dépressif que signalent certains rapports médicaux n'est pas de nature à modifier les conclusions de pleine capacité de travail de l'assurée. En effet, aucun des médecins ayant rapporté ce syndrome dépressif ne le décrit plus avant, se contentant de le mentionner sans plus de détails; de même, aucun n'en précise les incidences fonctionnelles, ni ne fait état d'une limitation de la capacité de travail de la recourante en raison de ce trouble, le Dr I._______, qui l'a d'ailleurs retenu dans son avis du 19 juillet 2007, l'estimant mineur et sans influence sur la capacité de travail, avis suivi par le Dr P._______. Certes, la recourante a produit un guide de traitement, établi par le Dr F._______, spécialiste en psychiatrie et maladies nerveuses, sur lequel figurent des médicaments et qui indique à quel moment de la journée ces médicaments doivent être pris. Toutefois, le Dr F._______, seul psychiatre connu parmi les médecins ayant rédigé des rapports versés au dossier, ne note pour sa part aucun diagnostic et encore moins d'éléments relatifs à la capacité de l'assurée dans le ménage. Dès lors, aucun élément au dossier ne permet de considérer que le syndrome dépressif allégué restreindrait la capacité de travail de la recourante dans l'accomplissement de ses travaux habituels, les documents à disposition étant par ailleurs suffisamment concordants à cet égard pour ne pas rendre nécessaires des examens complémentaires. Enfin, il sied de souligner que les conclusions des Drs I._______ et P._______ s'avèrent convaincantes également au vu des informations données par la recourante dans le questionnaire du 5 janvier 2007.</w:t>
      </w:r>
    </w:p>
    <w:p>
      <w:r>
        <w:rPr>
          <w:b/>
        </w:rPr>
        <w:t>E. 10.5</w:t>
      </w:r>
    </w:p>
    <w:p>
      <w:r>
        <w:t>Il appert ainsi, au regard des données médicales à disposition, suffisantes pour se prononcer en l'espèce, que la recourante ne présente aucune incapacité de travail dans les tâches ménagères, mis à part quelques semaines à partir du 11 juillet 2007, suite à la cholécystectomie. Or, même s'il devait s'avérer, en raison de cette opération, que l'incapacité de travail de l'assurée était de 100% au moment de la décision litigieuse, celle-ci datant du 26 juillet 2007, force est pour l'autorité de céans d'admettre, en accord avec l'autorité inférieure, que jusqu'à la date de la décision litigieuse, la recourante n'a pas subi d'incapacité pertinente d'au moins 40% pendant une année sans interruption notable, au sens des dispositions légales en vigueur, et était toujours en mesure d'assumer la conduite de son ménage en associant, dans une mesure exigible, les membres de sa famille aux travaux présentant des difficultés particulières pour elle. Eu égard à ce qui précède, le recours doit être rejeté et la décision du 26 juillet 2007 confirmée.</w:t>
      </w:r>
    </w:p>
    <w:p>
      <w:r>
        <w:rPr>
          <w:b/>
        </w:rPr>
        <w:t>E. 11</w:t>
      </w:r>
    </w:p>
    <w:p>
      <w:r>
        <w:t>La recourante, qui succombe, doit s'acquitter des frais de justice fixés, compte tenu de la charge liée à la procédure, à Fr. 300.- (art. 63 al. 1 PA). Ils sont compensés par l'avance de frais du même montant dont elle s'est acquittée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