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C-545/2021 vom 4. August 2021</w:t>
      </w:r>
    </w:p>
    <w:p>
      <w:r>
        <w:t>Bundesverwaltungsgericht, 2021-08-04, IT</w:t>
      </w:r>
    </w:p>
    <w:p>
      <w:r>
        <w:rPr>
          <w:b/>
        </w:rPr>
        <w:t xml:space="preserve">Quelle: </w:t>
      </w:r>
      <w:r>
        <w:t>https://mcp.opencaselaw.ch/entscheid/bvger_C-545_2021</w:t>
      </w:r>
    </w:p>
    <w:p>
      <w:r>
        <w:t>FR: TAF C-545/2021 du 4 août 2021</w:t>
      </w:r>
    </w:p>
    <w:p>
      <w:r>
        <w:t>IT: TAF C-545/2021 del 4 agosto 2021</w:t>
      </w:r>
    </w:p>
    <w:p>
      <w:pPr>
        <w:pStyle w:val="Heading2"/>
      </w:pPr>
      <w:r>
        <w:t>Regeste</w:t>
      </w:r>
    </w:p>
    <w:p>
      <w:r>
        <w:t>Rendite</w:t>
      </w:r>
    </w:p>
    <w:p>
      <w:pPr>
        <w:pStyle w:val="Heading2"/>
      </w:pPr>
      <w:r>
        <w:t>Erwägungen</w:t>
      </w:r>
    </w:p>
    <w:p>
      <w:r>
        <w:rPr>
          <w:b/>
        </w:rPr>
        <w:t>E. 1</w:t>
      </w:r>
    </w:p>
    <w:p>
      <w:r>
        <w:t>Riservate le eccezioni - non realizzate nel caso di specie - di cui all'art. 32 LTAF, questo Tribunale giudica, in virtù dell'art. 31 LTAF in combinazione con l'art. 33 lett. d LTAF e con l'art. 85bis cpv. 1 LAVS (RS 831.10), i ricorsi contro le decisioni, ai sensi dell'art. 5 PA, rese dalla CSC.</w:t>
      </w:r>
    </w:p>
    <w:p>
      <w:r>
        <w:rPr>
          <w:b/>
        </w:rPr>
        <w:t>E. 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l'invalidità, sempre che la LAVS non deroghi alla LPGA.</w:t>
      </w:r>
    </w:p>
    <w:p>
      <w:r>
        <w:rPr>
          <w:b/>
        </w:rPr>
        <w:t>E. 3.1</w:t>
      </w:r>
    </w:p>
    <w:p>
      <w:r>
        <w:t>Oggetto del contendere è la decisione su opposizione con cui la CSC ha deciso di non entrare in materia della contestazione e dichiarato l'opposizione irricevibile.</w:t>
      </w:r>
    </w:p>
    <w:p>
      <w:r>
        <w:rPr>
          <w:b/>
        </w:rPr>
        <w:t>E. 3.2</w:t>
      </w:r>
    </w:p>
    <w:p>
      <w:r>
        <w:t>Giusta l'art. 10 cpv. 1 dell'Ordinanza sulla parte generale delle assicurazioni sociali (OPGA; RS 830.11) l'opposizione deve contenere una conclusione e una motivazione. Il cpv. 4 stabilisce inoltre che l'opposizione scritta deve portare la firma dell'opponente. Il cpv. 5 infine prevede che se l'opposizione non soddisfa i requisiti di cui al cpv. 1 o se manca la firma, l'assicuratore assegna un congruo termine per rimediarvi, con la comminatoria che in caso contrario non entrerà nel merito.</w:t>
      </w:r>
    </w:p>
    <w:p>
      <w:r>
        <w:rPr>
          <w:b/>
        </w:rPr>
        <w:t>E. 3.3</w:t>
      </w:r>
    </w:p>
    <w:p>
      <w:r>
        <w:t>Le opposizioni che pervengono in fotocopia o telefax non sono ammissibili, in quanto non soddisfano i requisiti di cui sopra nella misura in cui non vi è un atto originale munito della firma del ricorrente o del suo rappresentante legale. Infatti, la giurisprudenza relativa alla ricevibilità formale dei ricorsi - valida anche per l'opposizione in virtù del rinvio di cui all' art. 55 cpv. 1 LPGA alle disposizioni di procedura della PA (in specie l'art. 52 PA) - ha precisato che la firma deve essere olografa e che quindi un ricorso non può essere inoltrato in fotocopia o in altro modo (telefax, per corriere elettronico solo a determinate condizioni) che omette tale modalità essenziale (sentenza del Tribunale federale del 30 agosto 2005 nella causa 1P.254/2005; DTF 121 II 252; DTF 112 Ia 173, si confronti anche Jérôme Candrian, Introduction à la procédure administrative fédérale, Basilea 2013, pag. 87 N 137; Moser/Beusch/Kneubühler, Prozessieren vor dem Bundesverwaltungsgericht, 2.ed. pag.127).</w:t>
      </w:r>
    </w:p>
    <w:p>
      <w:r>
        <w:rPr>
          <w:b/>
        </w:rPr>
        <w:t>E. 3.4</w:t>
      </w:r>
    </w:p>
    <w:p>
      <w:r>
        <w:t>Nel caso concreto, conformemente alle disposizioni in vigore, la CSC ha concesso la possibilità all'assicurato di sanare il difetto procedurale summenzionato producendo - nel termine assegnato con il provvedimento del 27 ottobre 2020, notificato il 5 novembre 2020 e scadente il 15 novembre successivo - copia dell'opposizione munita della firma olografa e di idonei mezzi di prova a sostegno delle sue ragioni. Né nel termine impartito, né tantomeno in seguito, l'insorgente ha fatto fronte a tale richiesta. Ne consegue che, facendo difetto un requisito formale previsto dall'art. 10 OPGA, andavano applicate le conseguenze della comminatoria contenuta nel provvedimento del 27 ottobre 2020. Correttamente pertanto l'amministrazione non è entrata nel merito dell'opposizione del 22 ottobre 2020.</w:t>
      </w:r>
    </w:p>
    <w:p>
      <w:r>
        <w:rPr>
          <w:b/>
        </w:rPr>
        <w:t>E. 3.5</w:t>
      </w:r>
    </w:p>
    <w:p>
      <w:r>
        <w:t>Alla luce delle considerazioni che precedono, il gravame risulta pertanto manifestamente infondato.</w:t>
      </w:r>
    </w:p>
    <w:p>
      <w:r>
        <w:rPr>
          <w:b/>
        </w:rPr>
        <w:t>E. 4</w:t>
      </w:r>
    </w:p>
    <w:p>
      <w:r>
        <w:t>Da quanto sopra esposto, consegue che il ricorso, manifestamente infondato, non merita tutela e la decisione impugnata va confermata. Il giudice dell'istruzione, anteriormente o posteriormente a uno scambio di scritti, decide quale giudice unico, con motivazione sommaria, i ricorsi manifestamente infondati, pronunciandone la non entrata in materia o il rigetto (art. 85bis cpv. 3 LAVS in combinazione con l'art. 69 cpv. 2 LAI; cfr. anche la sentenza del TAF C-3936/2015 del 24 gennaio 2017 consid. 12; C-1257/2013 del 27 marzo 2013 consid. 4). Ne segue che la presente sentenza di rigetto del ricorso può essere resa a giudice unico.</w:t>
      </w:r>
    </w:p>
    <w:p>
      <w:r>
        <w:rPr>
          <w:b/>
        </w:rPr>
        <w:t>E. 5.1</w:t>
      </w:r>
    </w:p>
    <w:p>
      <w:r>
        <w:t>Essendo la procedura gratuita non vengono prelevate spese procedurali (art. 85bis cpv. 2 LAVS).</w:t>
      </w:r>
    </w:p>
    <w:p>
      <w:r>
        <w:rPr>
          <w:b/>
        </w:rPr>
        <w:t>E. 5.2</w:t>
      </w:r>
    </w:p>
    <w:p>
      <w:r>
        <w:t>Visto l'esito della procedura, non si assegnano al ricorrente indennità per spese ripetibili (art. 64 cpv. 1 PA). Per quanto concerne la CSC, le autorità federali non hanno diritto ad un'indennità a titolo di ripetibili (art. 7 cpv. 3 del Regolamento del 21 febbraio 2008 sulle tasse e sulle spese ripetibili nelle cause dinanzi al Tribunale amministrativo federale [TS-TAF, RS 173.320.2]). Il dispositivo e i rimedi giuridici sono menzionati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